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FD0" w:rsidRPr="003B0FD0" w:rsidRDefault="003B0FD0" w:rsidP="003B0FD0">
      <w:pPr>
        <w:keepNext/>
        <w:spacing w:before="240" w:after="0" w:line="360" w:lineRule="auto"/>
        <w:jc w:val="center"/>
        <w:outlineLvl w:val="1"/>
        <w:rPr>
          <w:rFonts w:ascii="Arial" w:eastAsia="Calibri" w:hAnsi="Arial" w:cs="Arial"/>
          <w:b/>
          <w:bCs/>
          <w:sz w:val="32"/>
          <w:szCs w:val="32"/>
        </w:rPr>
      </w:pPr>
      <w:r>
        <w:rPr>
          <w:rFonts w:ascii="Arial" w:eastAsia="Times New Roman" w:hAnsi="Arial" w:cs="Arial"/>
          <w:b/>
          <w:bCs/>
          <w:sz w:val="32"/>
          <w:szCs w:val="32"/>
          <w:lang w:eastAsia="cs-CZ"/>
        </w:rPr>
        <w:t xml:space="preserve">Nový systém dávkování paliva pro technologie termického zpracování </w:t>
      </w:r>
      <w:r w:rsidR="0016272E">
        <w:rPr>
          <w:rFonts w:ascii="Arial" w:eastAsia="Times New Roman" w:hAnsi="Arial" w:cs="Arial"/>
          <w:b/>
          <w:bCs/>
          <w:sz w:val="32"/>
          <w:szCs w:val="32"/>
          <w:lang w:eastAsia="cs-CZ"/>
        </w:rPr>
        <w:t>biomasy</w:t>
      </w:r>
      <w:r w:rsidRPr="003B0FD0">
        <w:rPr>
          <w:rFonts w:ascii="Arial" w:eastAsia="Times New Roman" w:hAnsi="Arial" w:cs="Arial"/>
          <w:b/>
          <w:bCs/>
          <w:sz w:val="32"/>
          <w:szCs w:val="32"/>
          <w:lang w:eastAsia="cs-CZ"/>
        </w:rPr>
        <w:t xml:space="preserve"> </w:t>
      </w:r>
    </w:p>
    <w:p w:rsidR="003B0FD0" w:rsidRPr="003B0FD0" w:rsidRDefault="003B0FD0" w:rsidP="003B0FD0">
      <w:pPr>
        <w:spacing w:before="120" w:after="120" w:line="360" w:lineRule="auto"/>
        <w:rPr>
          <w:rFonts w:ascii="Arial" w:eastAsia="Times New Roman" w:hAnsi="Arial" w:cs="Arial"/>
          <w:i/>
          <w:sz w:val="24"/>
          <w:szCs w:val="20"/>
          <w:lang w:eastAsia="cs-CZ"/>
        </w:rPr>
      </w:pPr>
      <w:r w:rsidRPr="003C65A9">
        <w:rPr>
          <w:rFonts w:ascii="Arial" w:eastAsia="Times New Roman" w:hAnsi="Arial" w:cs="Arial"/>
          <w:sz w:val="24"/>
          <w:szCs w:val="20"/>
          <w:lang w:eastAsia="cs-CZ"/>
        </w:rPr>
        <w:t xml:space="preserve">Š. Kotačka, </w:t>
      </w:r>
      <w:r w:rsidR="005E76A9" w:rsidRPr="003C65A9">
        <w:rPr>
          <w:rFonts w:ascii="Arial" w:eastAsia="Times New Roman" w:hAnsi="Arial" w:cs="Arial"/>
          <w:sz w:val="24"/>
          <w:szCs w:val="20"/>
          <w:lang w:eastAsia="cs-CZ"/>
        </w:rPr>
        <w:t>T. Pařízek, F. Jedlička,</w:t>
      </w:r>
      <w:r w:rsidRPr="003C65A9">
        <w:rPr>
          <w:rFonts w:ascii="Arial" w:eastAsia="Times New Roman" w:hAnsi="Arial" w:cs="Arial"/>
          <w:sz w:val="24"/>
          <w:szCs w:val="20"/>
          <w:lang w:eastAsia="cs-CZ"/>
        </w:rPr>
        <w:t xml:space="preserve"> </w:t>
      </w:r>
      <w:r w:rsidR="003C65A9" w:rsidRPr="003C65A9">
        <w:rPr>
          <w:rFonts w:ascii="Arial" w:eastAsia="Times New Roman" w:hAnsi="Arial" w:cs="Arial"/>
          <w:sz w:val="24"/>
          <w:szCs w:val="20"/>
          <w:lang w:eastAsia="cs-CZ"/>
        </w:rPr>
        <w:t>J. Šikula</w:t>
      </w:r>
      <w:r w:rsidRPr="003B0FD0">
        <w:rPr>
          <w:rFonts w:ascii="Arial" w:eastAsia="Times New Roman" w:hAnsi="Arial" w:cs="Arial"/>
          <w:sz w:val="24"/>
          <w:szCs w:val="20"/>
          <w:lang w:eastAsia="cs-CZ"/>
        </w:rPr>
        <w:br/>
      </w:r>
      <w:r w:rsidRPr="003B0FD0">
        <w:rPr>
          <w:rFonts w:ascii="Verdana" w:eastAsia="Times New Roman" w:hAnsi="Verdana" w:cs="Arial"/>
          <w:i/>
          <w:sz w:val="20"/>
          <w:szCs w:val="20"/>
          <w:lang w:eastAsia="cs-CZ"/>
        </w:rPr>
        <w:t>Moravskoslezský energetický klastr, o.s</w:t>
      </w:r>
      <w:r w:rsidRPr="003B0FD0">
        <w:rPr>
          <w:rFonts w:ascii="Verdana" w:eastAsia="Times New Roman" w:hAnsi="Verdana" w:cs="Times New Roman"/>
          <w:i/>
          <w:sz w:val="20"/>
          <w:szCs w:val="20"/>
          <w:lang w:eastAsia="cs-CZ"/>
        </w:rPr>
        <w:t xml:space="preserve">, </w:t>
      </w:r>
      <w:r w:rsidRPr="003B0FD0">
        <w:rPr>
          <w:rFonts w:ascii="Verdana" w:eastAsia="Times New Roman" w:hAnsi="Verdana" w:cs="Arial"/>
          <w:i/>
          <w:sz w:val="20"/>
          <w:szCs w:val="20"/>
          <w:lang w:eastAsia="cs-CZ"/>
        </w:rPr>
        <w:t>Studentská 6202/17, 708 33 Ostrava – Poruba</w:t>
      </w:r>
    </w:p>
    <w:p w:rsidR="0090673D" w:rsidRDefault="0090673D" w:rsidP="005E76A9">
      <w:pPr>
        <w:spacing w:before="120" w:after="120" w:line="360" w:lineRule="auto"/>
        <w:ind w:firstLine="708"/>
        <w:jc w:val="both"/>
        <w:rPr>
          <w:rFonts w:ascii="Arial" w:eastAsia="Calibri" w:hAnsi="Arial" w:cs="Times New Roman"/>
          <w:sz w:val="24"/>
        </w:rPr>
      </w:pPr>
    </w:p>
    <w:p w:rsidR="0016272E" w:rsidRPr="0016272E" w:rsidRDefault="0016272E" w:rsidP="005E76A9">
      <w:pPr>
        <w:spacing w:before="120" w:after="120" w:line="360" w:lineRule="auto"/>
        <w:ind w:firstLine="708"/>
        <w:jc w:val="both"/>
        <w:rPr>
          <w:rFonts w:ascii="Arial" w:eastAsia="Calibri" w:hAnsi="Arial" w:cs="Times New Roman"/>
          <w:sz w:val="24"/>
        </w:rPr>
      </w:pPr>
      <w:r w:rsidRPr="0016272E">
        <w:rPr>
          <w:rFonts w:ascii="Arial" w:eastAsia="Calibri" w:hAnsi="Arial" w:cs="Times New Roman"/>
          <w:sz w:val="24"/>
        </w:rPr>
        <w:t xml:space="preserve">Spalování biomasy je z technického pohledu v současné době zcela běžnou </w:t>
      </w:r>
      <w:r w:rsidR="0090673D">
        <w:rPr>
          <w:rFonts w:ascii="Arial" w:eastAsia="Calibri" w:hAnsi="Arial" w:cs="Times New Roman"/>
          <w:sz w:val="24"/>
        </w:rPr>
        <w:br/>
      </w:r>
      <w:r w:rsidRPr="0016272E">
        <w:rPr>
          <w:rFonts w:ascii="Arial" w:eastAsia="Calibri" w:hAnsi="Arial" w:cs="Times New Roman"/>
          <w:sz w:val="24"/>
        </w:rPr>
        <w:t xml:space="preserve">a zvládnutou záležitostí. Biomasa je spalována ve spalovacích zařízeních různých typů, např. roštových, fluidních, atp. a energie uvolněná během spalování je využívána k různým účelům, především k výrobě páry v parních kotlích nebo k ohřevu vody. </w:t>
      </w:r>
    </w:p>
    <w:p w:rsidR="0016272E" w:rsidRPr="0016272E" w:rsidRDefault="0016272E" w:rsidP="005E76A9">
      <w:pPr>
        <w:spacing w:before="120" w:after="120" w:line="360" w:lineRule="auto"/>
        <w:ind w:firstLine="708"/>
        <w:jc w:val="both"/>
        <w:rPr>
          <w:rFonts w:ascii="Arial" w:eastAsia="Calibri" w:hAnsi="Arial" w:cs="Times New Roman"/>
          <w:sz w:val="24"/>
        </w:rPr>
      </w:pPr>
      <w:r w:rsidRPr="0016272E">
        <w:rPr>
          <w:rFonts w:ascii="Arial" w:eastAsia="Calibri" w:hAnsi="Arial" w:cs="Times New Roman"/>
          <w:sz w:val="24"/>
        </w:rPr>
        <w:t xml:space="preserve">Spalováním biomasy dochází k získání energie z obnovitelných zdrojů a tím k ochraně životního prostředí a úspoře omezených zásob neobnovitelných zdrojů. Jedním z nejrozšířenějších typů biomasy je v současné době dřevní štěpka různé hrubosti, piliny, hobliny a jiný odpad pocházející ze zpracování dřeva, části větví stromů nebo keřů, ale také produkty ze zemědělství jako například sláma, obiloviny anebo traviny. Ideální využití biomasy jako paliva je přímo tam, kde dochází k její produkci anebo v blízkém okolí. </w:t>
      </w:r>
    </w:p>
    <w:p w:rsidR="0016272E" w:rsidRPr="0016272E" w:rsidRDefault="0016272E" w:rsidP="005E76A9">
      <w:pPr>
        <w:spacing w:before="120" w:after="120" w:line="360" w:lineRule="auto"/>
        <w:ind w:firstLine="708"/>
        <w:jc w:val="both"/>
        <w:rPr>
          <w:rFonts w:ascii="Arial" w:eastAsia="Calibri" w:hAnsi="Arial" w:cs="Times New Roman"/>
          <w:sz w:val="24"/>
        </w:rPr>
      </w:pPr>
      <w:r w:rsidRPr="0016272E">
        <w:rPr>
          <w:rFonts w:ascii="Arial" w:eastAsia="Calibri" w:hAnsi="Arial" w:cs="Times New Roman"/>
          <w:sz w:val="24"/>
        </w:rPr>
        <w:t xml:space="preserve">Základním procesem před vlastním spalováním biomasy je její skladování, úprava, doprava a dávkování do spalovacího zařízení. Toto je z technického pohledu v současné době zcela běžnou a ve většině případů zvládnutou záležitostí. Biomasa bývá zpravidla uskladněna ve větším množství na jednom vyhrazeném místě nazývaném sklad paliva. Odtud je následně po částech dopravována a dávkována do spalovacího zařízení. Způsob dopravy a dávkování biomasy je závislý na použité biomase, dispozičnímu uspořádání zařízení, provozních podmínkách a technickému provedení spalovacího zařízení a lze ho obecně nazvat systémem dopravy paliva. V praxi se využívá jak kontinuálního, tak periodického systému dopravy paliva anebo jejich kombinace. Častým prvkem používaným v systému dopravy paliva je mezisklad (mezi zásobník), který je z jedné strany obecně plněn ze skladu paliva </w:t>
      </w:r>
      <w:r w:rsidR="0090673D">
        <w:rPr>
          <w:rFonts w:ascii="Arial" w:eastAsia="Calibri" w:hAnsi="Arial" w:cs="Times New Roman"/>
          <w:sz w:val="24"/>
        </w:rPr>
        <w:br/>
      </w:r>
      <w:r w:rsidRPr="0016272E">
        <w:rPr>
          <w:rFonts w:ascii="Arial" w:eastAsia="Calibri" w:hAnsi="Arial" w:cs="Times New Roman"/>
          <w:sz w:val="24"/>
        </w:rPr>
        <w:t xml:space="preserve">a z druhé strany řízeně vyprazdňován v závislosti na provozu spalovacího zařízení. </w:t>
      </w:r>
      <w:r w:rsidRPr="0016272E">
        <w:rPr>
          <w:rFonts w:ascii="Arial" w:eastAsia="Calibri" w:hAnsi="Arial" w:cs="Times New Roman"/>
          <w:sz w:val="24"/>
        </w:rPr>
        <w:lastRenderedPageBreak/>
        <w:t>Právě řízené a spolehlivé dávkování paliva do spalovacího zařízení je velice důležité pro udržení jeho požadovaného (optimálního) provozního stavu.</w:t>
      </w:r>
    </w:p>
    <w:p w:rsidR="0016272E" w:rsidRPr="0016272E" w:rsidRDefault="0016272E" w:rsidP="005E76A9">
      <w:pPr>
        <w:spacing w:before="120" w:after="120" w:line="360" w:lineRule="auto"/>
        <w:ind w:firstLine="708"/>
        <w:jc w:val="both"/>
        <w:rPr>
          <w:rFonts w:ascii="Arial" w:eastAsia="Calibri" w:hAnsi="Arial" w:cs="Times New Roman"/>
          <w:sz w:val="24"/>
        </w:rPr>
      </w:pPr>
      <w:r w:rsidRPr="0016272E">
        <w:rPr>
          <w:rFonts w:ascii="Arial" w:eastAsia="Calibri" w:hAnsi="Arial" w:cs="Times New Roman"/>
          <w:sz w:val="24"/>
        </w:rPr>
        <w:t xml:space="preserve">Při spalování „drcené“ biomasy, jakou je například štěpka, piliny, hobliny, atd., je systém dopravy paliva obvykle tvořen již zmíněným meziskladem paliva </w:t>
      </w:r>
      <w:r w:rsidR="000E73FD">
        <w:rPr>
          <w:rFonts w:ascii="Arial" w:eastAsia="Calibri" w:hAnsi="Arial" w:cs="Times New Roman"/>
          <w:sz w:val="24"/>
        </w:rPr>
        <w:br/>
      </w:r>
      <w:r w:rsidRPr="0016272E">
        <w:rPr>
          <w:rFonts w:ascii="Arial" w:eastAsia="Calibri" w:hAnsi="Arial" w:cs="Times New Roman"/>
          <w:sz w:val="24"/>
        </w:rPr>
        <w:t>a podávacím zařízením, které může být tvořeno šnekovými dopravníky, elevátory, dopravními pásy anebo jednoúčelovými zařízeními jako je například hradlový podavač s centrálním nosným a vodící</w:t>
      </w:r>
      <w:r w:rsidR="00A7701F">
        <w:rPr>
          <w:rFonts w:ascii="Arial" w:eastAsia="Calibri" w:hAnsi="Arial" w:cs="Times New Roman"/>
          <w:sz w:val="24"/>
        </w:rPr>
        <w:t xml:space="preserve"> </w:t>
      </w:r>
      <w:r w:rsidRPr="0016272E">
        <w:rPr>
          <w:rFonts w:ascii="Arial" w:eastAsia="Calibri" w:hAnsi="Arial" w:cs="Times New Roman"/>
          <w:sz w:val="24"/>
        </w:rPr>
        <w:t>m táhlem. Spalování tohoto typu biomasy je pro provozovatele zařízení optimálním řešením. Získaná biomasa je již připravena pro spalování a není nutné vynakládat další energii pro její přípravu. V praxi dochází také k produkci „kusové“ biomasy, jakou jsou například větve stromů, keřů anebo hrubý odpad při zpracování dřeva (špalíky, odřezky desek, latí, odkorky, atd.).</w:t>
      </w:r>
    </w:p>
    <w:p w:rsidR="0016272E" w:rsidRDefault="0016272E" w:rsidP="005E76A9">
      <w:pPr>
        <w:spacing w:before="120" w:after="120" w:line="360" w:lineRule="auto"/>
        <w:ind w:firstLine="708"/>
        <w:jc w:val="both"/>
        <w:rPr>
          <w:rFonts w:ascii="Arial" w:eastAsia="Calibri" w:hAnsi="Arial" w:cs="Times New Roman"/>
          <w:sz w:val="24"/>
        </w:rPr>
      </w:pPr>
      <w:r w:rsidRPr="0016272E">
        <w:rPr>
          <w:rFonts w:ascii="Arial" w:eastAsia="Calibri" w:hAnsi="Arial" w:cs="Times New Roman"/>
          <w:sz w:val="24"/>
        </w:rPr>
        <w:t xml:space="preserve">Při zpracování „kusové“ biomasy je nutné systém dopravy paliva doplnit </w:t>
      </w:r>
      <w:r w:rsidR="000E73FD">
        <w:rPr>
          <w:rFonts w:ascii="Arial" w:eastAsia="Calibri" w:hAnsi="Arial" w:cs="Times New Roman"/>
          <w:sz w:val="24"/>
        </w:rPr>
        <w:br/>
      </w:r>
      <w:r w:rsidRPr="0016272E">
        <w:rPr>
          <w:rFonts w:ascii="Arial" w:eastAsia="Calibri" w:hAnsi="Arial" w:cs="Times New Roman"/>
          <w:sz w:val="24"/>
        </w:rPr>
        <w:t>o aparát přípravy štěpky. Tento aparát je zastoupen nejčastěji drtičem, který z kusové biomasy vytvoří drcenou biomasu požadovaných parametrů. Drtič může být zařazen již na vstupu biomasy do skladu paliva, kdy je kusová biomasa podrcena ještě před jejím skladováním. Druhým způsobem je vložení drtiče do oblasti meziskladu, kdy je kusová biomasa drcena až před vlastním dávkováním do spalovacího zařízení. Spalování tohoto typu biomasy je obecně pro provozovatele z energetického hlediska vlivem vloženého drtiče  již méně ekonomicky výhodné a to i v případě, že biomasu tvoří odpad z vlastní produkce.</w:t>
      </w:r>
    </w:p>
    <w:p w:rsidR="00622E0B" w:rsidRDefault="00622E0B" w:rsidP="005E76A9">
      <w:pPr>
        <w:spacing w:before="120" w:after="120" w:line="360" w:lineRule="auto"/>
        <w:ind w:firstLine="708"/>
        <w:jc w:val="both"/>
        <w:rPr>
          <w:rFonts w:ascii="Arial" w:hAnsi="Arial" w:cs="Arial"/>
          <w:sz w:val="24"/>
        </w:rPr>
      </w:pPr>
      <w:r w:rsidRPr="00FB70E2">
        <w:rPr>
          <w:rFonts w:ascii="Arial" w:hAnsi="Arial" w:cs="Arial"/>
          <w:sz w:val="24"/>
        </w:rPr>
        <w:t xml:space="preserve">Cílem projektu </w:t>
      </w:r>
      <w:r w:rsidRPr="00622E0B">
        <w:rPr>
          <w:rFonts w:ascii="Arial" w:hAnsi="Arial" w:cs="Arial"/>
          <w:sz w:val="24"/>
        </w:rPr>
        <w:t>„Výzkum a vývoj experimentálního zkušebního zařízení – systém dopravy“</w:t>
      </w:r>
      <w:r w:rsidR="001F30E9">
        <w:rPr>
          <w:rFonts w:ascii="Arial" w:hAnsi="Arial" w:cs="Arial"/>
          <w:sz w:val="24"/>
        </w:rPr>
        <w:t xml:space="preserve">, který zadal pro rok </w:t>
      </w:r>
      <w:r w:rsidRPr="00FB70E2">
        <w:rPr>
          <w:rFonts w:ascii="Arial" w:hAnsi="Arial" w:cs="Arial"/>
          <w:sz w:val="24"/>
        </w:rPr>
        <w:t>2014 Moravskoslez</w:t>
      </w:r>
      <w:r w:rsidR="001F30E9">
        <w:rPr>
          <w:rFonts w:ascii="Arial" w:hAnsi="Arial" w:cs="Arial"/>
          <w:sz w:val="24"/>
        </w:rPr>
        <w:t xml:space="preserve">ský energetický klastr, </w:t>
      </w:r>
      <w:r w:rsidRPr="00FB70E2">
        <w:rPr>
          <w:rFonts w:ascii="Arial" w:hAnsi="Arial" w:cs="Arial"/>
          <w:sz w:val="24"/>
        </w:rPr>
        <w:t xml:space="preserve">je </w:t>
      </w:r>
      <w:r w:rsidRPr="00622E0B">
        <w:rPr>
          <w:rFonts w:ascii="Arial" w:hAnsi="Arial" w:cs="Arial"/>
          <w:sz w:val="24"/>
        </w:rPr>
        <w:t xml:space="preserve">projekční návrh moderního a efektivního systému dopravy kontaminované biomasy </w:t>
      </w:r>
      <w:r w:rsidR="000E73FD">
        <w:rPr>
          <w:rFonts w:ascii="Arial" w:hAnsi="Arial" w:cs="Arial"/>
          <w:sz w:val="24"/>
        </w:rPr>
        <w:br/>
      </w:r>
      <w:r w:rsidRPr="00622E0B">
        <w:rPr>
          <w:rFonts w:ascii="Arial" w:hAnsi="Arial" w:cs="Arial"/>
          <w:sz w:val="24"/>
        </w:rPr>
        <w:t>a předupraveného směsného odpadu pro technologickou jednotku pro výrobu čisté energie.</w:t>
      </w:r>
    </w:p>
    <w:p w:rsidR="00622E0B" w:rsidRDefault="00622E0B" w:rsidP="005E76A9">
      <w:pPr>
        <w:spacing w:before="120" w:after="120" w:line="360" w:lineRule="auto"/>
        <w:ind w:firstLine="708"/>
        <w:jc w:val="both"/>
        <w:rPr>
          <w:rFonts w:ascii="Arial" w:hAnsi="Arial" w:cs="Arial"/>
          <w:sz w:val="24"/>
        </w:rPr>
      </w:pPr>
    </w:p>
    <w:p w:rsidR="00622E0B" w:rsidRPr="00622E0B" w:rsidRDefault="00622E0B" w:rsidP="00622E0B">
      <w:pPr>
        <w:spacing w:after="120" w:line="240" w:lineRule="auto"/>
        <w:jc w:val="both"/>
        <w:rPr>
          <w:rFonts w:ascii="Verdana" w:eastAsia="SimSun" w:hAnsi="Verdana" w:cs="Times New Roman"/>
          <w:b/>
          <w:sz w:val="24"/>
          <w:szCs w:val="24"/>
          <w:lang w:eastAsia="zh-CN"/>
        </w:rPr>
      </w:pPr>
      <w:r w:rsidRPr="00622E0B">
        <w:rPr>
          <w:rFonts w:ascii="Verdana" w:eastAsia="SimSun" w:hAnsi="Verdana" w:cs="Times New Roman"/>
          <w:b/>
          <w:sz w:val="24"/>
          <w:szCs w:val="24"/>
          <w:lang w:eastAsia="zh-CN"/>
        </w:rPr>
        <w:t xml:space="preserve">Výchozí stav </w:t>
      </w:r>
      <w:r w:rsidR="007527A4">
        <w:rPr>
          <w:rFonts w:ascii="Verdana" w:eastAsia="SimSun" w:hAnsi="Verdana" w:cs="Times New Roman"/>
          <w:b/>
          <w:sz w:val="24"/>
          <w:szCs w:val="24"/>
          <w:lang w:eastAsia="zh-CN"/>
        </w:rPr>
        <w:t xml:space="preserve">dávkování paliva v </w:t>
      </w:r>
      <w:r w:rsidRPr="00622E0B">
        <w:rPr>
          <w:rFonts w:ascii="Verdana" w:eastAsia="SimSun" w:hAnsi="Verdana" w:cs="Times New Roman"/>
          <w:b/>
          <w:sz w:val="24"/>
          <w:szCs w:val="24"/>
          <w:lang w:eastAsia="zh-CN"/>
        </w:rPr>
        <w:t>technologi</w:t>
      </w:r>
      <w:r w:rsidR="007527A4">
        <w:rPr>
          <w:rFonts w:ascii="Verdana" w:eastAsia="SimSun" w:hAnsi="Verdana" w:cs="Times New Roman"/>
          <w:b/>
          <w:sz w:val="24"/>
          <w:szCs w:val="24"/>
          <w:lang w:eastAsia="zh-CN"/>
        </w:rPr>
        <w:t>i</w:t>
      </w:r>
      <w:r w:rsidRPr="00622E0B">
        <w:rPr>
          <w:rFonts w:ascii="Verdana" w:eastAsia="SimSun" w:hAnsi="Verdana" w:cs="Times New Roman"/>
          <w:b/>
          <w:sz w:val="24"/>
          <w:szCs w:val="24"/>
          <w:lang w:eastAsia="zh-CN"/>
        </w:rPr>
        <w:t xml:space="preserve"> pro energetické využití biomasy </w:t>
      </w:r>
    </w:p>
    <w:p w:rsidR="00712145" w:rsidRDefault="00712145" w:rsidP="00622E0B">
      <w:pPr>
        <w:spacing w:before="120" w:after="120" w:line="360" w:lineRule="auto"/>
        <w:jc w:val="both"/>
        <w:rPr>
          <w:rFonts w:ascii="Arial" w:hAnsi="Arial" w:cs="Arial"/>
          <w:sz w:val="24"/>
        </w:rPr>
      </w:pPr>
    </w:p>
    <w:p w:rsidR="0090673D" w:rsidRDefault="00712145" w:rsidP="00712145">
      <w:pPr>
        <w:spacing w:before="120" w:after="120" w:line="360" w:lineRule="auto"/>
        <w:ind w:firstLine="708"/>
        <w:jc w:val="both"/>
        <w:rPr>
          <w:rFonts w:ascii="Arial" w:hAnsi="Arial" w:cs="Arial"/>
          <w:sz w:val="24"/>
        </w:rPr>
      </w:pPr>
      <w:r w:rsidRPr="001E24FE">
        <w:rPr>
          <w:rFonts w:ascii="Arial" w:hAnsi="Arial" w:cs="Arial"/>
          <w:sz w:val="24"/>
        </w:rPr>
        <w:t xml:space="preserve">V roce 2012 byla instalována v areálu Dřevoparu v Lošticích biomasová kotelna, která využívá jako palivo odpadní dřevo vznikající v areálu závodu. Tepelný výkon kotle je 3MWt, elektrický výkon na svorkách generátoru je 180 kWe. Při předpokladu že fond pracovní doby je 6 800 hodin za rok a při hodinové spotřebě dřevní hmoty asi 1000 kg/h je spotřeba paliva asi 6 800 tun/rok. Veškeré palivo vzniká jako odpad z výroby dřevěných parket přímo v areálu společnosti Dřevopar. </w:t>
      </w:r>
      <w:r w:rsidR="001F30E9">
        <w:rPr>
          <w:rFonts w:ascii="Arial" w:hAnsi="Arial" w:cs="Arial"/>
          <w:sz w:val="24"/>
        </w:rPr>
        <w:t xml:space="preserve"> </w:t>
      </w:r>
    </w:p>
    <w:p w:rsidR="00622E0B" w:rsidRDefault="00712145" w:rsidP="00712145">
      <w:pPr>
        <w:spacing w:before="120" w:after="120" w:line="360" w:lineRule="auto"/>
        <w:ind w:firstLine="708"/>
        <w:jc w:val="both"/>
        <w:rPr>
          <w:rFonts w:ascii="Arial" w:hAnsi="Arial" w:cs="Arial"/>
          <w:sz w:val="24"/>
        </w:rPr>
      </w:pPr>
      <w:r w:rsidRPr="001E24FE">
        <w:rPr>
          <w:rFonts w:ascii="Arial" w:hAnsi="Arial" w:cs="Arial"/>
          <w:sz w:val="24"/>
        </w:rPr>
        <w:t xml:space="preserve">Kotelna je vybavena vlastním průjezdným meziskladem paliva, provozním skladem paliva s hydraulickou podlahou, dopravní cestou paliva do kotle, spalovací komorou s vratisuvným roštem, parním kotlem s pomocnými zařízeními, multicyklonem, spalinovým ventilátorem a komínem. Pára vyrobená v parním kotli je přivedena do turbogenerátoru. Z turbogenerátoru pára proudí do parního rozvodu </w:t>
      </w:r>
      <w:r w:rsidR="000E73FD">
        <w:rPr>
          <w:rFonts w:ascii="Arial" w:hAnsi="Arial" w:cs="Arial"/>
          <w:sz w:val="24"/>
        </w:rPr>
        <w:br/>
      </w:r>
      <w:r w:rsidRPr="001E24FE">
        <w:rPr>
          <w:rFonts w:ascii="Arial" w:hAnsi="Arial" w:cs="Arial"/>
          <w:sz w:val="24"/>
        </w:rPr>
        <w:t>v závodu a do kondenzátorů páry. Pro výrobu páry je využívána voda z existujícího vrtu, která je upravována v jednotce pro úpravu vody na požadované parametry. Kotel je vybaven dopravníkem roštového popele a uzavřeným kontejnerem pro skladování popele. V rámci kotelny je vybudován velín, ve kterém je umístěno operátorské PC pro ovládání technologie.</w:t>
      </w:r>
    </w:p>
    <w:p w:rsidR="0090673D" w:rsidRDefault="0090673D" w:rsidP="00712145">
      <w:pPr>
        <w:spacing w:before="120" w:after="120" w:line="360" w:lineRule="auto"/>
        <w:ind w:firstLine="708"/>
        <w:jc w:val="both"/>
        <w:rPr>
          <w:rFonts w:ascii="Arial" w:hAnsi="Arial" w:cs="Arial"/>
          <w:sz w:val="24"/>
        </w:rPr>
      </w:pPr>
    </w:p>
    <w:p w:rsidR="0090673D" w:rsidRDefault="0090673D" w:rsidP="00712145">
      <w:pPr>
        <w:spacing w:before="120" w:after="120" w:line="360" w:lineRule="auto"/>
        <w:ind w:firstLine="708"/>
        <w:jc w:val="both"/>
        <w:rPr>
          <w:rFonts w:ascii="Arial" w:hAnsi="Arial" w:cs="Arial"/>
          <w:sz w:val="24"/>
        </w:rPr>
      </w:pPr>
      <w:r>
        <w:rPr>
          <w:rFonts w:ascii="Verdana" w:hAnsi="Verdana" w:cs="Arial"/>
          <w:b/>
          <w:noProof/>
          <w:lang w:eastAsia="cs-CZ"/>
        </w:rPr>
        <w:drawing>
          <wp:anchor distT="0" distB="0" distL="114300" distR="114300" simplePos="0" relativeHeight="251661312" behindDoc="1" locked="0" layoutInCell="1" allowOverlap="1">
            <wp:simplePos x="0" y="0"/>
            <wp:positionH relativeFrom="column">
              <wp:posOffset>548005</wp:posOffset>
            </wp:positionH>
            <wp:positionV relativeFrom="paragraph">
              <wp:posOffset>110490</wp:posOffset>
            </wp:positionV>
            <wp:extent cx="4776470" cy="3568700"/>
            <wp:effectExtent l="0" t="0" r="5080" b="0"/>
            <wp:wrapTight wrapText="bothSides">
              <wp:wrapPolygon edited="0">
                <wp:start x="0" y="0"/>
                <wp:lineTo x="0" y="21446"/>
                <wp:lineTo x="21537" y="21446"/>
                <wp:lineTo x="21537" y="0"/>
                <wp:lineTo x="0" y="0"/>
              </wp:wrapPolygon>
            </wp:wrapTight>
            <wp:docPr id="2" name="Obrázek 2" descr="IMG_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511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76470" cy="3568700"/>
                    </a:xfrm>
                    <a:prstGeom prst="rect">
                      <a:avLst/>
                    </a:prstGeom>
                    <a:noFill/>
                    <a:ln>
                      <a:noFill/>
                    </a:ln>
                  </pic:spPr>
                </pic:pic>
              </a:graphicData>
            </a:graphic>
          </wp:anchor>
        </w:drawing>
      </w:r>
    </w:p>
    <w:p w:rsidR="00712145" w:rsidRDefault="00712145" w:rsidP="00712145">
      <w:pPr>
        <w:spacing w:before="120" w:after="120" w:line="360" w:lineRule="auto"/>
        <w:ind w:firstLine="708"/>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Default="0090673D" w:rsidP="0090673D">
      <w:pPr>
        <w:spacing w:before="120" w:after="120" w:line="360" w:lineRule="auto"/>
        <w:jc w:val="both"/>
        <w:rPr>
          <w:rFonts w:ascii="Arial" w:hAnsi="Arial" w:cs="Arial"/>
          <w:sz w:val="24"/>
        </w:rPr>
      </w:pPr>
    </w:p>
    <w:p w:rsidR="0090673D" w:rsidRPr="0090673D" w:rsidRDefault="0090673D" w:rsidP="0090673D">
      <w:pPr>
        <w:spacing w:before="120" w:after="120" w:line="360" w:lineRule="auto"/>
        <w:jc w:val="both"/>
        <w:rPr>
          <w:rFonts w:ascii="Arial" w:eastAsia="Times New Roman" w:hAnsi="Arial" w:cs="Arial"/>
          <w:i/>
          <w:sz w:val="18"/>
          <w:szCs w:val="18"/>
          <w:lang w:eastAsia="cs-CZ"/>
        </w:rPr>
      </w:pPr>
      <w:r w:rsidRPr="0090673D">
        <w:rPr>
          <w:rFonts w:ascii="Arial" w:eastAsia="Times New Roman" w:hAnsi="Arial" w:cs="Arial"/>
          <w:b/>
          <w:bCs/>
          <w:i/>
          <w:sz w:val="18"/>
          <w:szCs w:val="18"/>
          <w:lang w:eastAsia="cs-CZ"/>
        </w:rPr>
        <w:t xml:space="preserve">Obr. </w:t>
      </w:r>
      <w:r>
        <w:rPr>
          <w:rFonts w:ascii="Arial" w:eastAsia="Times New Roman" w:hAnsi="Arial" w:cs="Arial"/>
          <w:b/>
          <w:bCs/>
          <w:i/>
          <w:sz w:val="18"/>
          <w:szCs w:val="18"/>
          <w:lang w:eastAsia="cs-CZ"/>
        </w:rPr>
        <w:t>1</w:t>
      </w:r>
      <w:r>
        <w:rPr>
          <w:rFonts w:ascii="Arial" w:eastAsia="Times New Roman" w:hAnsi="Arial" w:cs="Arial"/>
          <w:b/>
          <w:i/>
          <w:iCs/>
          <w:sz w:val="18"/>
          <w:szCs w:val="18"/>
          <w:lang w:eastAsia="cs-CZ"/>
        </w:rPr>
        <w:t xml:space="preserve">  </w:t>
      </w:r>
      <w:r w:rsidRPr="0090673D">
        <w:rPr>
          <w:rFonts w:ascii="Arial" w:eastAsia="Times New Roman" w:hAnsi="Arial" w:cs="Arial"/>
          <w:i/>
          <w:iCs/>
          <w:sz w:val="18"/>
          <w:szCs w:val="18"/>
          <w:lang w:eastAsia="cs-CZ"/>
        </w:rPr>
        <w:t>Technologie pro energetické využití biomasy.</w:t>
      </w:r>
    </w:p>
    <w:p w:rsidR="0090673D" w:rsidRDefault="0090673D" w:rsidP="007527A4">
      <w:pPr>
        <w:spacing w:before="120" w:after="120" w:line="360" w:lineRule="auto"/>
        <w:ind w:firstLine="708"/>
        <w:jc w:val="both"/>
        <w:rPr>
          <w:rFonts w:ascii="Arial" w:eastAsia="Calibri" w:hAnsi="Arial" w:cs="Times New Roman"/>
          <w:sz w:val="24"/>
        </w:rPr>
      </w:pP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Stávající palivové hospodářství se skládá z následujících hlavních částí:</w:t>
      </w:r>
    </w:p>
    <w:p w:rsidR="007527A4" w:rsidRPr="00712145" w:rsidRDefault="007527A4" w:rsidP="007527A4">
      <w:pPr>
        <w:spacing w:before="120" w:after="120" w:line="360" w:lineRule="auto"/>
        <w:ind w:firstLine="708"/>
        <w:jc w:val="both"/>
        <w:rPr>
          <w:rFonts w:ascii="Arial" w:eastAsia="Calibri" w:hAnsi="Arial" w:cs="Times New Roman"/>
          <w:b/>
          <w:i/>
          <w:sz w:val="24"/>
        </w:rPr>
      </w:pPr>
      <w:r w:rsidRPr="00712145">
        <w:rPr>
          <w:rFonts w:ascii="Arial" w:eastAsia="Calibri" w:hAnsi="Arial" w:cs="Times New Roman"/>
          <w:b/>
          <w:i/>
          <w:sz w:val="24"/>
        </w:rPr>
        <w:t>Hydraulická podlaha</w:t>
      </w:r>
    </w:p>
    <w:p w:rsidR="007527A4" w:rsidRPr="007527A4" w:rsidRDefault="007527A4" w:rsidP="00712145">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Nachází se celá ve venkovním zastřešeném prostoru a slouží jako provozní zásoba paliva. Palivo je na ni naváženo pomocí kolového nakladače otevřenou čelní stranou z vnitropodnikové zpevněné komunikace. Na protilehlé zadní straně navazuje na podlahu příčný palivový kanál. Boční stěny tvoří dřevěné příčky, z nichž jedna je současně stěnou budovy kotelny.</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 xml:space="preserve">Dno hydraulické podlahy tvoří betonová deska, na které jsou nainstalovány </w:t>
      </w:r>
    </w:p>
    <w:p w:rsidR="007527A4" w:rsidRPr="007527A4" w:rsidRDefault="007527A4" w:rsidP="00712145">
      <w:pPr>
        <w:spacing w:before="120" w:after="120" w:line="360" w:lineRule="auto"/>
        <w:jc w:val="both"/>
        <w:rPr>
          <w:rFonts w:ascii="Arial" w:eastAsia="Calibri" w:hAnsi="Arial" w:cs="Times New Roman"/>
          <w:sz w:val="24"/>
        </w:rPr>
      </w:pPr>
      <w:r w:rsidRPr="007527A4">
        <w:rPr>
          <w:rFonts w:ascii="Arial" w:eastAsia="Calibri" w:hAnsi="Arial" w:cs="Times New Roman"/>
          <w:sz w:val="24"/>
        </w:rPr>
        <w:t xml:space="preserve">3 totožné sekce podélných hydraulických hrabel doplněná o hrabla pevná ukotvená </w:t>
      </w:r>
      <w:r w:rsidR="0090673D">
        <w:rPr>
          <w:rFonts w:ascii="Arial" w:eastAsia="Calibri" w:hAnsi="Arial" w:cs="Times New Roman"/>
          <w:sz w:val="24"/>
        </w:rPr>
        <w:br/>
      </w:r>
      <w:r w:rsidRPr="007527A4">
        <w:rPr>
          <w:rFonts w:ascii="Arial" w:eastAsia="Calibri" w:hAnsi="Arial" w:cs="Times New Roman"/>
          <w:sz w:val="24"/>
        </w:rPr>
        <w:t>k betonové desce. Každou sekci tvoří svařovaný ocelový rám složený z bočních profilů, hrabel a středového táhla vedeného pevnými průvlaky ukotvenými k betonové podlaze. Hrabla jsou vyrobena z plechu a tvoří uzavřenou „sk</w:t>
      </w:r>
      <w:r w:rsidR="00712145">
        <w:rPr>
          <w:rFonts w:ascii="Arial" w:eastAsia="Calibri" w:hAnsi="Arial" w:cs="Times New Roman"/>
          <w:sz w:val="24"/>
        </w:rPr>
        <w:t xml:space="preserve">říň“ klínového tvaru. Orientace </w:t>
      </w:r>
      <w:r w:rsidRPr="007527A4">
        <w:rPr>
          <w:rFonts w:ascii="Arial" w:eastAsia="Calibri" w:hAnsi="Arial" w:cs="Times New Roman"/>
          <w:sz w:val="24"/>
        </w:rPr>
        <w:t xml:space="preserve">a poloha hrabel v rámu je přesně definována. Středové táhlo je napojeno na pístnici hydraulického válce, které zajišťuje přímočarý vratný pohyb. </w:t>
      </w:r>
    </w:p>
    <w:p w:rsidR="007527A4" w:rsidRPr="007527A4" w:rsidRDefault="007527A4" w:rsidP="00712145">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 xml:space="preserve">Při vysouvání pístnice dochází k zajíždění sekce do provozní zásoby paliva (hrabla vnikají klínovou stranou do materiálu). </w:t>
      </w:r>
      <w:r w:rsidR="00712145">
        <w:rPr>
          <w:rFonts w:ascii="Arial" w:eastAsia="Calibri" w:hAnsi="Arial" w:cs="Times New Roman"/>
          <w:sz w:val="24"/>
        </w:rPr>
        <w:t xml:space="preserve">Při zasouvání pístnice dochází </w:t>
      </w:r>
      <w:r w:rsidR="0090673D">
        <w:rPr>
          <w:rFonts w:ascii="Arial" w:eastAsia="Calibri" w:hAnsi="Arial" w:cs="Times New Roman"/>
          <w:sz w:val="24"/>
        </w:rPr>
        <w:br/>
      </w:r>
      <w:r w:rsidRPr="007527A4">
        <w:rPr>
          <w:rFonts w:ascii="Arial" w:eastAsia="Calibri" w:hAnsi="Arial" w:cs="Times New Roman"/>
          <w:sz w:val="24"/>
        </w:rPr>
        <w:t>k vyjíždění sekce z provozní zásoby paliva a rovnou stranou hrabel je palivo hrnuto směrem k příčnému palivovému kanálu. Palivo nacházející se na hraně kanálu do něj samovolně přepadává.</w:t>
      </w:r>
      <w:r w:rsidR="00712145">
        <w:rPr>
          <w:rFonts w:ascii="Arial" w:eastAsia="Calibri" w:hAnsi="Arial" w:cs="Times New Roman"/>
          <w:sz w:val="24"/>
        </w:rPr>
        <w:t xml:space="preserve"> </w:t>
      </w:r>
      <w:r w:rsidRPr="007527A4">
        <w:rPr>
          <w:rFonts w:ascii="Arial" w:eastAsia="Calibri" w:hAnsi="Arial" w:cs="Times New Roman"/>
          <w:sz w:val="24"/>
        </w:rPr>
        <w:t>Všechny namáhané funkční části hyd</w:t>
      </w:r>
      <w:r w:rsidR="00712145">
        <w:rPr>
          <w:rFonts w:ascii="Arial" w:eastAsia="Calibri" w:hAnsi="Arial" w:cs="Times New Roman"/>
          <w:sz w:val="24"/>
        </w:rPr>
        <w:t xml:space="preserve">raulické podlahy jsou vyrobeny </w:t>
      </w:r>
      <w:r w:rsidRPr="007527A4">
        <w:rPr>
          <w:rFonts w:ascii="Arial" w:eastAsia="Calibri" w:hAnsi="Arial" w:cs="Times New Roman"/>
          <w:sz w:val="24"/>
        </w:rPr>
        <w:t>z otěruvzdorného materiálu.</w:t>
      </w:r>
    </w:p>
    <w:p w:rsidR="007527A4" w:rsidRPr="007527A4" w:rsidRDefault="0090673D" w:rsidP="007527A4">
      <w:pPr>
        <w:spacing w:before="120" w:after="120" w:line="360" w:lineRule="auto"/>
        <w:ind w:firstLine="708"/>
        <w:jc w:val="both"/>
        <w:rPr>
          <w:rFonts w:ascii="Arial" w:eastAsia="Calibri" w:hAnsi="Arial" w:cs="Times New Roman"/>
          <w:sz w:val="24"/>
        </w:rPr>
      </w:pPr>
      <w:r>
        <w:rPr>
          <w:rFonts w:ascii="Arial" w:eastAsia="Calibri" w:hAnsi="Arial" w:cs="Times New Roman"/>
          <w:noProof/>
          <w:sz w:val="24"/>
          <w:lang w:eastAsia="cs-CZ"/>
        </w:rPr>
        <w:drawing>
          <wp:anchor distT="0" distB="0" distL="114300" distR="114300" simplePos="0" relativeHeight="251658240" behindDoc="1" locked="0" layoutInCell="1" allowOverlap="1">
            <wp:simplePos x="0" y="0"/>
            <wp:positionH relativeFrom="column">
              <wp:posOffset>1417955</wp:posOffset>
            </wp:positionH>
            <wp:positionV relativeFrom="paragraph">
              <wp:posOffset>506730</wp:posOffset>
            </wp:positionV>
            <wp:extent cx="2658110" cy="1992630"/>
            <wp:effectExtent l="19050" t="0" r="8890" b="0"/>
            <wp:wrapTight wrapText="bothSides">
              <wp:wrapPolygon edited="0">
                <wp:start x="-155" y="0"/>
                <wp:lineTo x="-155" y="21476"/>
                <wp:lineTo x="21672" y="21476"/>
                <wp:lineTo x="21672" y="0"/>
                <wp:lineTo x="-155" y="0"/>
              </wp:wrapPolygon>
            </wp:wrapTight>
            <wp:docPr id="1" name="Obrázek 1" descr="DSC07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C0739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8110" cy="1992630"/>
                    </a:xfrm>
                    <a:prstGeom prst="rect">
                      <a:avLst/>
                    </a:prstGeom>
                    <a:noFill/>
                    <a:ln>
                      <a:noFill/>
                    </a:ln>
                  </pic:spPr>
                </pic:pic>
              </a:graphicData>
            </a:graphic>
          </wp:anchor>
        </w:drawing>
      </w:r>
      <w:r w:rsidR="007527A4" w:rsidRPr="007527A4">
        <w:rPr>
          <w:rFonts w:ascii="Arial" w:eastAsia="Calibri" w:hAnsi="Arial" w:cs="Times New Roman"/>
          <w:sz w:val="24"/>
        </w:rPr>
        <w:t>Zdrojem energie pro pohyb pístnice hydraulických válců je hydraulický agregát společný pro potřeby příčného palivového kanálu.</w:t>
      </w: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90673D" w:rsidRDefault="007527A4" w:rsidP="0090673D">
      <w:pPr>
        <w:spacing w:before="120" w:after="120" w:line="360" w:lineRule="auto"/>
        <w:jc w:val="both"/>
        <w:rPr>
          <w:rFonts w:ascii="Arial" w:eastAsia="Times New Roman" w:hAnsi="Arial" w:cs="Arial"/>
          <w:bCs/>
          <w:i/>
          <w:sz w:val="18"/>
          <w:szCs w:val="18"/>
          <w:lang w:eastAsia="cs-CZ"/>
        </w:rPr>
      </w:pPr>
      <w:r w:rsidRPr="0090673D">
        <w:rPr>
          <w:rFonts w:ascii="Arial" w:eastAsia="Times New Roman" w:hAnsi="Arial" w:cs="Arial"/>
          <w:b/>
          <w:bCs/>
          <w:i/>
          <w:sz w:val="18"/>
          <w:szCs w:val="18"/>
          <w:lang w:eastAsia="cs-CZ"/>
        </w:rPr>
        <w:t>Obr.</w:t>
      </w:r>
      <w:r w:rsidR="0090673D">
        <w:rPr>
          <w:rFonts w:ascii="Arial" w:eastAsia="Times New Roman" w:hAnsi="Arial" w:cs="Arial"/>
          <w:b/>
          <w:bCs/>
          <w:i/>
          <w:sz w:val="18"/>
          <w:szCs w:val="18"/>
          <w:lang w:eastAsia="cs-CZ"/>
        </w:rPr>
        <w:t xml:space="preserve"> 2</w:t>
      </w:r>
      <w:r w:rsidRPr="0090673D">
        <w:rPr>
          <w:rFonts w:ascii="Arial" w:eastAsia="Times New Roman" w:hAnsi="Arial" w:cs="Arial"/>
          <w:b/>
          <w:bCs/>
          <w:i/>
          <w:sz w:val="18"/>
          <w:szCs w:val="18"/>
          <w:lang w:eastAsia="cs-CZ"/>
        </w:rPr>
        <w:t xml:space="preserve"> </w:t>
      </w:r>
      <w:r w:rsidR="0090673D">
        <w:rPr>
          <w:rFonts w:ascii="Arial" w:eastAsia="Times New Roman" w:hAnsi="Arial" w:cs="Arial"/>
          <w:b/>
          <w:bCs/>
          <w:i/>
          <w:sz w:val="18"/>
          <w:szCs w:val="18"/>
          <w:lang w:eastAsia="cs-CZ"/>
        </w:rPr>
        <w:t xml:space="preserve"> </w:t>
      </w:r>
      <w:r w:rsidRPr="0090673D">
        <w:rPr>
          <w:rFonts w:ascii="Arial" w:eastAsia="Times New Roman" w:hAnsi="Arial" w:cs="Arial"/>
          <w:bCs/>
          <w:i/>
          <w:sz w:val="18"/>
          <w:szCs w:val="18"/>
          <w:lang w:eastAsia="cs-CZ"/>
        </w:rPr>
        <w:t>Hydraulická podlaha</w:t>
      </w:r>
    </w:p>
    <w:p w:rsidR="007527A4" w:rsidRPr="00712145" w:rsidRDefault="007527A4" w:rsidP="007527A4">
      <w:pPr>
        <w:spacing w:before="120" w:after="120" w:line="360" w:lineRule="auto"/>
        <w:ind w:firstLine="708"/>
        <w:jc w:val="both"/>
        <w:rPr>
          <w:rFonts w:ascii="Arial" w:eastAsia="Calibri" w:hAnsi="Arial" w:cs="Times New Roman"/>
          <w:b/>
          <w:i/>
          <w:sz w:val="24"/>
        </w:rPr>
      </w:pPr>
      <w:r w:rsidRPr="00712145">
        <w:rPr>
          <w:rFonts w:ascii="Arial" w:eastAsia="Calibri" w:hAnsi="Arial" w:cs="Times New Roman"/>
          <w:b/>
          <w:i/>
          <w:sz w:val="24"/>
        </w:rPr>
        <w:t>Příčný palivový kanál</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Nachází se z větší části ve venkovním zastřešeném prostoru a svým výstupním koncem zasahuje do vnitřního prostoru budovy kotelny a slouží jako doprava a dávkování paliva do spalovací komory kotle. Na výstupní straně na něho navazuje stoupací kanál do kotle. Celý příčný kanál se nachází pod úrovní hydraulické podlahy.</w:t>
      </w:r>
    </w:p>
    <w:p w:rsidR="007527A4" w:rsidRPr="007527A4" w:rsidRDefault="007527A4" w:rsidP="00712145">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Příčný palivový kanál je tvořen ocel</w:t>
      </w:r>
      <w:r w:rsidR="00712145">
        <w:rPr>
          <w:rFonts w:ascii="Arial" w:eastAsia="Calibri" w:hAnsi="Arial" w:cs="Times New Roman"/>
          <w:sz w:val="24"/>
        </w:rPr>
        <w:t xml:space="preserve">ovým korytem pevně zabudovaným </w:t>
      </w:r>
      <w:r w:rsidR="0090673D">
        <w:rPr>
          <w:rFonts w:ascii="Arial" w:eastAsia="Calibri" w:hAnsi="Arial" w:cs="Times New Roman"/>
          <w:sz w:val="24"/>
        </w:rPr>
        <w:br/>
      </w:r>
      <w:r w:rsidRPr="007527A4">
        <w:rPr>
          <w:rFonts w:ascii="Arial" w:eastAsia="Calibri" w:hAnsi="Arial" w:cs="Times New Roman"/>
          <w:sz w:val="24"/>
        </w:rPr>
        <w:t>v betonových základech, jedním svař</w:t>
      </w:r>
      <w:r w:rsidR="00712145">
        <w:rPr>
          <w:rFonts w:ascii="Arial" w:eastAsia="Calibri" w:hAnsi="Arial" w:cs="Times New Roman"/>
          <w:sz w:val="24"/>
        </w:rPr>
        <w:t xml:space="preserve">eným ocelovým pohyblivým rámem </w:t>
      </w:r>
      <w:r w:rsidRPr="007527A4">
        <w:rPr>
          <w:rFonts w:ascii="Arial" w:eastAsia="Calibri" w:hAnsi="Arial" w:cs="Times New Roman"/>
          <w:sz w:val="24"/>
        </w:rPr>
        <w:t xml:space="preserve">a pevnými hrably navařenými na dno koryta. Výstupní stranu koryta tvoří pevný střižný nůž </w:t>
      </w:r>
      <w:r w:rsidR="0090673D">
        <w:rPr>
          <w:rFonts w:ascii="Arial" w:eastAsia="Calibri" w:hAnsi="Arial" w:cs="Times New Roman"/>
          <w:sz w:val="24"/>
        </w:rPr>
        <w:br/>
      </w:r>
      <w:r w:rsidRPr="007527A4">
        <w:rPr>
          <w:rFonts w:ascii="Arial" w:eastAsia="Calibri" w:hAnsi="Arial" w:cs="Times New Roman"/>
          <w:sz w:val="24"/>
        </w:rPr>
        <w:t xml:space="preserve">a příruba pro napojení stoupacího kanálu. Pohyblivý rám tvoří uzavřená skříň hydraulického válce, nosné středové táhlo, hrabla a čelní „beran“ se střižným nožem. Hrabla jsou vyrobena z plechu a tvoří uzavřenou „skříň“ klínovitého tvaru a jsou pevně navařena na středové táhlo. Orientace a poloha hrabel na táhle je přesně definována. Středové táhlo je napojeno na pístnici hydraulického válce, které zajišťuje přímočarý vratný pohyb. Vedení pohyblivého rámu zajišťují pevné průvlaky navařené na dno koryta. </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Při vysouvání pístnice dochází k zajíždění rámu směrem do stoupacího kanálu a rovnou stranou hrabla dopravě paliva do spalovací komory kotle. Při zasouvání pístnice dochází k vyjíždění rámu směrem od stoupacího kanálu a zajíždění klínové části hrabla do paliva nahrnutého v korytě. Palivo na hraně hrabla přepadává. Střižné nože slouží k naformátování paliva do průřezu stoupacího kanálu. Počet cyklů pohyblivého rámu udává velikost dávky paliva.</w:t>
      </w:r>
    </w:p>
    <w:p w:rsidR="007527A4" w:rsidRPr="007527A4" w:rsidRDefault="007527A4" w:rsidP="00712145">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Všechny namáhané funkční části hyd</w:t>
      </w:r>
      <w:r w:rsidR="00712145">
        <w:rPr>
          <w:rFonts w:ascii="Arial" w:eastAsia="Calibri" w:hAnsi="Arial" w:cs="Times New Roman"/>
          <w:sz w:val="24"/>
        </w:rPr>
        <w:t xml:space="preserve">raulické podlahy jsou vyrobeny </w:t>
      </w:r>
      <w:r w:rsidR="0090673D">
        <w:rPr>
          <w:rFonts w:ascii="Arial" w:eastAsia="Calibri" w:hAnsi="Arial" w:cs="Times New Roman"/>
          <w:sz w:val="24"/>
        </w:rPr>
        <w:br/>
      </w:r>
      <w:r w:rsidRPr="007527A4">
        <w:rPr>
          <w:rFonts w:ascii="Arial" w:eastAsia="Calibri" w:hAnsi="Arial" w:cs="Times New Roman"/>
          <w:sz w:val="24"/>
        </w:rPr>
        <w:t xml:space="preserve">z otěruvzdorného materiálu. </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 xml:space="preserve">Zdrojem energie pro pohyb pístnice hydraulického válce je hydraulický agregát společný pro potřeby hydraulické podlahy. </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 xml:space="preserve"> </w:t>
      </w: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r>
        <w:rPr>
          <w:rFonts w:ascii="Verdana" w:eastAsia="Times New Roman" w:hAnsi="Verdana" w:cs="Arial"/>
          <w:noProof/>
          <w:sz w:val="20"/>
          <w:szCs w:val="20"/>
          <w:lang w:eastAsia="cs-CZ"/>
        </w:rPr>
        <w:drawing>
          <wp:anchor distT="0" distB="0" distL="114300" distR="114300" simplePos="0" relativeHeight="251664384" behindDoc="1" locked="0" layoutInCell="1" allowOverlap="1">
            <wp:simplePos x="0" y="0"/>
            <wp:positionH relativeFrom="column">
              <wp:posOffset>1266825</wp:posOffset>
            </wp:positionH>
            <wp:positionV relativeFrom="paragraph">
              <wp:posOffset>120015</wp:posOffset>
            </wp:positionV>
            <wp:extent cx="3639185" cy="2721610"/>
            <wp:effectExtent l="0" t="0" r="0" b="2540"/>
            <wp:wrapTight wrapText="bothSides">
              <wp:wrapPolygon edited="0">
                <wp:start x="0" y="0"/>
                <wp:lineTo x="0" y="21469"/>
                <wp:lineTo x="21483" y="21469"/>
                <wp:lineTo x="21483" y="0"/>
                <wp:lineTo x="0" y="0"/>
              </wp:wrapPolygon>
            </wp:wrapTight>
            <wp:docPr id="3" name="Obrázek 3" descr="IMG_8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825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39185" cy="2721610"/>
                    </a:xfrm>
                    <a:prstGeom prst="rect">
                      <a:avLst/>
                    </a:prstGeom>
                    <a:noFill/>
                    <a:ln>
                      <a:noFill/>
                    </a:ln>
                  </pic:spPr>
                </pic:pic>
              </a:graphicData>
            </a:graphic>
          </wp:anchor>
        </w:drawing>
      </w: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3C65A9" w:rsidRDefault="003C65A9" w:rsidP="0090673D">
      <w:pPr>
        <w:spacing w:before="120" w:after="120" w:line="360" w:lineRule="auto"/>
        <w:jc w:val="both"/>
        <w:rPr>
          <w:rFonts w:ascii="Arial" w:eastAsia="Times New Roman" w:hAnsi="Arial" w:cs="Arial"/>
          <w:b/>
          <w:bCs/>
          <w:i/>
          <w:sz w:val="18"/>
          <w:szCs w:val="18"/>
          <w:lang w:eastAsia="cs-CZ"/>
        </w:rPr>
      </w:pPr>
    </w:p>
    <w:p w:rsidR="003C65A9" w:rsidRDefault="003C65A9" w:rsidP="0090673D">
      <w:pPr>
        <w:spacing w:before="120" w:after="120" w:line="360" w:lineRule="auto"/>
        <w:jc w:val="both"/>
        <w:rPr>
          <w:rFonts w:ascii="Arial" w:eastAsia="Times New Roman" w:hAnsi="Arial" w:cs="Arial"/>
          <w:b/>
          <w:bCs/>
          <w:i/>
          <w:sz w:val="18"/>
          <w:szCs w:val="18"/>
          <w:lang w:eastAsia="cs-CZ"/>
        </w:rPr>
      </w:pPr>
    </w:p>
    <w:p w:rsidR="007527A4" w:rsidRPr="0090673D" w:rsidRDefault="007527A4" w:rsidP="0090673D">
      <w:pPr>
        <w:spacing w:before="120" w:after="120" w:line="360" w:lineRule="auto"/>
        <w:jc w:val="both"/>
        <w:rPr>
          <w:rFonts w:ascii="Arial" w:eastAsia="Times New Roman" w:hAnsi="Arial" w:cs="Arial"/>
          <w:bCs/>
          <w:i/>
          <w:sz w:val="18"/>
          <w:szCs w:val="18"/>
          <w:lang w:eastAsia="cs-CZ"/>
        </w:rPr>
      </w:pPr>
      <w:r w:rsidRPr="0090673D">
        <w:rPr>
          <w:rFonts w:ascii="Arial" w:eastAsia="Times New Roman" w:hAnsi="Arial" w:cs="Arial"/>
          <w:b/>
          <w:bCs/>
          <w:i/>
          <w:sz w:val="18"/>
          <w:szCs w:val="18"/>
          <w:lang w:eastAsia="cs-CZ"/>
        </w:rPr>
        <w:t>Obr.</w:t>
      </w:r>
      <w:r w:rsidR="0090673D">
        <w:rPr>
          <w:rFonts w:ascii="Arial" w:eastAsia="Times New Roman" w:hAnsi="Arial" w:cs="Arial"/>
          <w:b/>
          <w:bCs/>
          <w:i/>
          <w:sz w:val="18"/>
          <w:szCs w:val="18"/>
          <w:lang w:eastAsia="cs-CZ"/>
        </w:rPr>
        <w:t xml:space="preserve"> 3</w:t>
      </w:r>
      <w:r w:rsidRPr="0090673D">
        <w:rPr>
          <w:rFonts w:ascii="Arial" w:eastAsia="Times New Roman" w:hAnsi="Arial" w:cs="Arial"/>
          <w:b/>
          <w:bCs/>
          <w:i/>
          <w:sz w:val="18"/>
          <w:szCs w:val="18"/>
          <w:lang w:eastAsia="cs-CZ"/>
        </w:rPr>
        <w:t xml:space="preserve"> </w:t>
      </w:r>
      <w:r w:rsidRPr="0090673D">
        <w:rPr>
          <w:rFonts w:ascii="Arial" w:eastAsia="Times New Roman" w:hAnsi="Arial" w:cs="Arial"/>
          <w:bCs/>
          <w:i/>
          <w:sz w:val="18"/>
          <w:szCs w:val="18"/>
          <w:lang w:eastAsia="cs-CZ"/>
        </w:rPr>
        <w:t>Příčný palivový kanál</w:t>
      </w:r>
    </w:p>
    <w:p w:rsidR="007527A4" w:rsidRPr="007527A4" w:rsidRDefault="007527A4" w:rsidP="007527A4">
      <w:pPr>
        <w:spacing w:before="120" w:after="120" w:line="360" w:lineRule="auto"/>
        <w:ind w:firstLine="708"/>
        <w:jc w:val="both"/>
        <w:rPr>
          <w:rFonts w:ascii="Arial" w:eastAsia="Calibri" w:hAnsi="Arial" w:cs="Times New Roman"/>
          <w:sz w:val="24"/>
        </w:rPr>
      </w:pPr>
    </w:p>
    <w:p w:rsidR="007527A4" w:rsidRPr="00712145" w:rsidRDefault="007527A4" w:rsidP="007527A4">
      <w:pPr>
        <w:spacing w:before="120" w:after="120" w:line="360" w:lineRule="auto"/>
        <w:ind w:firstLine="708"/>
        <w:jc w:val="both"/>
        <w:rPr>
          <w:rFonts w:ascii="Arial" w:eastAsia="Calibri" w:hAnsi="Arial" w:cs="Times New Roman"/>
          <w:b/>
          <w:i/>
          <w:sz w:val="24"/>
        </w:rPr>
      </w:pPr>
      <w:r w:rsidRPr="00712145">
        <w:rPr>
          <w:rFonts w:ascii="Arial" w:eastAsia="Calibri" w:hAnsi="Arial" w:cs="Times New Roman"/>
          <w:b/>
          <w:i/>
          <w:sz w:val="24"/>
        </w:rPr>
        <w:t>Stoupací kanál</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 xml:space="preserve">Stoupací kanál propojuje výstupní přírubu příčného palivového kanálu a vstup do spalovací komory kotle. Slouží k vynesení paliva z úrovně příčného kanálu do úrovně roštu spalovací komory. Kanál je vyrobený v jednom kuse z ocelového plechu, je dvouplášťový s vodní náplní. Při provozu kotle slouží voda </w:t>
      </w:r>
    </w:p>
    <w:p w:rsidR="007527A4" w:rsidRPr="007527A4"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k předehřevu paliva. Při odstavování kotle dochází k vyhořívání paliva uvnitř stoupacího kanálu a voda slouží k chlazení stoupacího kanálu.</w:t>
      </w:r>
    </w:p>
    <w:p w:rsidR="007527A4" w:rsidRPr="007527A4" w:rsidRDefault="0090673D" w:rsidP="007527A4">
      <w:pPr>
        <w:spacing w:before="120" w:after="120" w:line="360" w:lineRule="auto"/>
        <w:ind w:firstLine="708"/>
        <w:jc w:val="both"/>
        <w:rPr>
          <w:rFonts w:ascii="Arial" w:eastAsia="Calibri" w:hAnsi="Arial" w:cs="Times New Roman"/>
          <w:sz w:val="24"/>
        </w:rPr>
      </w:pPr>
      <w:r>
        <w:rPr>
          <w:rFonts w:ascii="Verdana" w:eastAsia="Times New Roman" w:hAnsi="Verdana" w:cs="Arial"/>
          <w:noProof/>
          <w:sz w:val="20"/>
          <w:szCs w:val="20"/>
          <w:lang w:eastAsia="cs-CZ"/>
        </w:rPr>
        <w:drawing>
          <wp:anchor distT="0" distB="0" distL="114300" distR="114300" simplePos="0" relativeHeight="251662336" behindDoc="1" locked="0" layoutInCell="1" allowOverlap="1">
            <wp:simplePos x="0" y="0"/>
            <wp:positionH relativeFrom="column">
              <wp:posOffset>869315</wp:posOffset>
            </wp:positionH>
            <wp:positionV relativeFrom="paragraph">
              <wp:posOffset>38735</wp:posOffset>
            </wp:positionV>
            <wp:extent cx="3387090" cy="2541270"/>
            <wp:effectExtent l="0" t="0" r="3810" b="0"/>
            <wp:wrapTight wrapText="bothSides">
              <wp:wrapPolygon edited="0">
                <wp:start x="0" y="0"/>
                <wp:lineTo x="0" y="21373"/>
                <wp:lineTo x="21503" y="21373"/>
                <wp:lineTo x="21503" y="0"/>
                <wp:lineTo x="0" y="0"/>
              </wp:wrapPolygon>
            </wp:wrapTight>
            <wp:docPr id="4" name="Obrázek 4" descr="P1040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1040420"/>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87090" cy="2541270"/>
                    </a:xfrm>
                    <a:prstGeom prst="rect">
                      <a:avLst/>
                    </a:prstGeom>
                    <a:noFill/>
                    <a:ln>
                      <a:noFill/>
                    </a:ln>
                  </pic:spPr>
                </pic:pic>
              </a:graphicData>
            </a:graphic>
          </wp:anchor>
        </w:drawing>
      </w:r>
    </w:p>
    <w:p w:rsidR="0090673D" w:rsidRDefault="007527A4" w:rsidP="007527A4">
      <w:pPr>
        <w:spacing w:before="120" w:after="120" w:line="360" w:lineRule="auto"/>
        <w:ind w:firstLine="708"/>
        <w:jc w:val="both"/>
        <w:rPr>
          <w:rFonts w:ascii="Arial" w:eastAsia="Calibri" w:hAnsi="Arial" w:cs="Times New Roman"/>
          <w:sz w:val="24"/>
        </w:rPr>
      </w:pPr>
      <w:r w:rsidRPr="007527A4">
        <w:rPr>
          <w:rFonts w:ascii="Arial" w:eastAsia="Calibri" w:hAnsi="Arial" w:cs="Times New Roman"/>
          <w:sz w:val="24"/>
        </w:rPr>
        <w:t xml:space="preserve"> </w:t>
      </w:r>
    </w:p>
    <w:p w:rsidR="0090673D" w:rsidRDefault="0090673D" w:rsidP="007527A4">
      <w:pPr>
        <w:spacing w:before="120" w:after="120" w:line="360" w:lineRule="auto"/>
        <w:ind w:firstLine="708"/>
        <w:jc w:val="both"/>
        <w:rPr>
          <w:rFonts w:ascii="Arial" w:eastAsia="Calibri" w:hAnsi="Arial" w:cs="Times New Roman"/>
          <w:sz w:val="24"/>
        </w:rPr>
      </w:pPr>
    </w:p>
    <w:p w:rsidR="0090673D" w:rsidRDefault="0090673D" w:rsidP="007527A4">
      <w:pPr>
        <w:spacing w:before="120" w:after="120" w:line="360" w:lineRule="auto"/>
        <w:ind w:firstLine="708"/>
        <w:jc w:val="both"/>
        <w:rPr>
          <w:rFonts w:ascii="Arial" w:eastAsia="Calibri" w:hAnsi="Arial" w:cs="Times New Roman"/>
          <w:sz w:val="24"/>
        </w:rPr>
      </w:pPr>
    </w:p>
    <w:p w:rsidR="0090673D" w:rsidRDefault="0090673D" w:rsidP="007527A4">
      <w:pPr>
        <w:spacing w:before="120" w:after="120" w:line="360" w:lineRule="auto"/>
        <w:ind w:firstLine="708"/>
        <w:jc w:val="both"/>
        <w:rPr>
          <w:rFonts w:ascii="Arial" w:eastAsia="Calibri" w:hAnsi="Arial" w:cs="Times New Roman"/>
          <w:sz w:val="24"/>
        </w:rPr>
      </w:pPr>
    </w:p>
    <w:p w:rsidR="0090673D" w:rsidRDefault="0090673D" w:rsidP="007527A4">
      <w:pPr>
        <w:spacing w:before="120" w:after="120" w:line="360" w:lineRule="auto"/>
        <w:ind w:firstLine="708"/>
        <w:jc w:val="both"/>
        <w:rPr>
          <w:rFonts w:ascii="Arial" w:eastAsia="Calibri" w:hAnsi="Arial" w:cs="Times New Roman"/>
          <w:sz w:val="24"/>
        </w:rPr>
      </w:pPr>
    </w:p>
    <w:p w:rsidR="0090673D" w:rsidRDefault="0090673D" w:rsidP="0090673D">
      <w:pPr>
        <w:spacing w:before="120" w:after="120" w:line="360" w:lineRule="auto"/>
        <w:jc w:val="both"/>
        <w:rPr>
          <w:rFonts w:ascii="Arial" w:eastAsia="Times New Roman" w:hAnsi="Arial" w:cs="Arial"/>
          <w:b/>
          <w:bCs/>
          <w:i/>
          <w:sz w:val="18"/>
          <w:szCs w:val="18"/>
          <w:lang w:eastAsia="cs-CZ"/>
        </w:rPr>
      </w:pPr>
    </w:p>
    <w:p w:rsidR="003C65A9" w:rsidRDefault="003C65A9" w:rsidP="0090673D">
      <w:pPr>
        <w:spacing w:before="120" w:after="120" w:line="360" w:lineRule="auto"/>
        <w:jc w:val="both"/>
        <w:rPr>
          <w:rFonts w:ascii="Arial" w:eastAsia="Times New Roman" w:hAnsi="Arial" w:cs="Arial"/>
          <w:b/>
          <w:bCs/>
          <w:i/>
          <w:sz w:val="18"/>
          <w:szCs w:val="18"/>
          <w:lang w:eastAsia="cs-CZ"/>
        </w:rPr>
      </w:pPr>
    </w:p>
    <w:p w:rsidR="003C65A9" w:rsidRDefault="003C65A9" w:rsidP="0090673D">
      <w:pPr>
        <w:spacing w:before="120" w:after="120" w:line="360" w:lineRule="auto"/>
        <w:jc w:val="both"/>
        <w:rPr>
          <w:rFonts w:ascii="Arial" w:eastAsia="Times New Roman" w:hAnsi="Arial" w:cs="Arial"/>
          <w:b/>
          <w:bCs/>
          <w:i/>
          <w:sz w:val="18"/>
          <w:szCs w:val="18"/>
          <w:lang w:eastAsia="cs-CZ"/>
        </w:rPr>
      </w:pPr>
    </w:p>
    <w:p w:rsidR="007527A4" w:rsidRPr="0090673D" w:rsidRDefault="007527A4" w:rsidP="0090673D">
      <w:pPr>
        <w:spacing w:before="120" w:after="120" w:line="360" w:lineRule="auto"/>
        <w:jc w:val="both"/>
        <w:rPr>
          <w:rFonts w:ascii="Arial" w:eastAsia="Times New Roman" w:hAnsi="Arial" w:cs="Arial"/>
          <w:b/>
          <w:bCs/>
          <w:i/>
          <w:sz w:val="18"/>
          <w:szCs w:val="18"/>
          <w:lang w:eastAsia="cs-CZ"/>
        </w:rPr>
      </w:pPr>
      <w:r w:rsidRPr="0090673D">
        <w:rPr>
          <w:rFonts w:ascii="Arial" w:eastAsia="Times New Roman" w:hAnsi="Arial" w:cs="Arial"/>
          <w:b/>
          <w:bCs/>
          <w:i/>
          <w:sz w:val="18"/>
          <w:szCs w:val="18"/>
          <w:lang w:eastAsia="cs-CZ"/>
        </w:rPr>
        <w:t>Obr.</w:t>
      </w:r>
      <w:r w:rsidR="0090673D">
        <w:rPr>
          <w:rFonts w:ascii="Arial" w:eastAsia="Times New Roman" w:hAnsi="Arial" w:cs="Arial"/>
          <w:b/>
          <w:bCs/>
          <w:i/>
          <w:sz w:val="18"/>
          <w:szCs w:val="18"/>
          <w:lang w:eastAsia="cs-CZ"/>
        </w:rPr>
        <w:t xml:space="preserve"> 4</w:t>
      </w:r>
      <w:r w:rsidRPr="0090673D">
        <w:rPr>
          <w:rFonts w:ascii="Arial" w:eastAsia="Times New Roman" w:hAnsi="Arial" w:cs="Arial"/>
          <w:b/>
          <w:bCs/>
          <w:i/>
          <w:sz w:val="18"/>
          <w:szCs w:val="18"/>
          <w:lang w:eastAsia="cs-CZ"/>
        </w:rPr>
        <w:t xml:space="preserve"> </w:t>
      </w:r>
      <w:r w:rsidRPr="0090673D">
        <w:rPr>
          <w:rFonts w:ascii="Arial" w:eastAsia="Times New Roman" w:hAnsi="Arial" w:cs="Arial"/>
          <w:bCs/>
          <w:i/>
          <w:sz w:val="18"/>
          <w:szCs w:val="18"/>
          <w:lang w:eastAsia="cs-CZ"/>
        </w:rPr>
        <w:t>Stoupací kanál</w:t>
      </w:r>
    </w:p>
    <w:p w:rsidR="005E76A9" w:rsidRPr="005E76A9" w:rsidRDefault="005E76A9" w:rsidP="005E76A9">
      <w:pPr>
        <w:spacing w:before="120" w:after="120" w:line="360" w:lineRule="auto"/>
        <w:jc w:val="both"/>
        <w:rPr>
          <w:rFonts w:ascii="Arial" w:eastAsia="Calibri" w:hAnsi="Arial" w:cs="Times New Roman"/>
          <w:b/>
          <w:sz w:val="24"/>
        </w:rPr>
      </w:pPr>
      <w:r w:rsidRPr="005E76A9">
        <w:rPr>
          <w:rFonts w:ascii="Arial" w:eastAsia="Calibri" w:hAnsi="Arial" w:cs="Times New Roman"/>
          <w:b/>
          <w:sz w:val="24"/>
        </w:rPr>
        <w:t>Podstata technického řešení</w:t>
      </w:r>
    </w:p>
    <w:p w:rsidR="005E76A9" w:rsidRPr="005E76A9" w:rsidRDefault="005E76A9" w:rsidP="00712145">
      <w:pPr>
        <w:spacing w:before="120" w:after="120" w:line="360" w:lineRule="auto"/>
        <w:ind w:firstLine="708"/>
        <w:jc w:val="both"/>
        <w:rPr>
          <w:rFonts w:ascii="Arial" w:eastAsia="Calibri" w:hAnsi="Arial" w:cs="Times New Roman"/>
          <w:sz w:val="24"/>
        </w:rPr>
      </w:pPr>
      <w:r w:rsidRPr="005E76A9">
        <w:rPr>
          <w:rFonts w:ascii="Arial" w:eastAsia="Calibri" w:hAnsi="Arial" w:cs="Times New Roman"/>
          <w:sz w:val="24"/>
        </w:rPr>
        <w:t>Vzhledem ke zvýšeným nákladům pro přípravu kusové biomasy před jejím spalováním bylo</w:t>
      </w:r>
      <w:r>
        <w:rPr>
          <w:rFonts w:ascii="Arial" w:eastAsia="Calibri" w:hAnsi="Arial" w:cs="Times New Roman"/>
          <w:sz w:val="24"/>
        </w:rPr>
        <w:t xml:space="preserve"> rámci projektu „</w:t>
      </w:r>
      <w:r w:rsidRPr="005E76A9">
        <w:rPr>
          <w:rFonts w:ascii="Arial" w:eastAsia="Calibri" w:hAnsi="Arial" w:cs="Times New Roman"/>
          <w:sz w:val="24"/>
        </w:rPr>
        <w:t>Výzkum a vývoj experimentálního zkušebního zařízení – systém dopravy</w:t>
      </w:r>
      <w:r>
        <w:rPr>
          <w:rFonts w:ascii="Arial" w:eastAsia="Calibri" w:hAnsi="Arial" w:cs="Times New Roman"/>
          <w:sz w:val="24"/>
        </w:rPr>
        <w:t>“ od zadavatele MSEK</w:t>
      </w:r>
      <w:r w:rsidRPr="005E76A9">
        <w:rPr>
          <w:rFonts w:ascii="Arial" w:eastAsia="Calibri" w:hAnsi="Arial" w:cs="Times New Roman"/>
          <w:sz w:val="24"/>
        </w:rPr>
        <w:t xml:space="preserve"> navrženo technické řešení systému dopravy biomasy a kontaminované biomasy, které řeší problematiku dávkování kusového paliva bez nutnosti jeho dodatečné přípravy pro spalování. Při spojení tohoto řešení systému dopravy s vhodným spalovacím zařízením umožňujícím spalování kusového paliva vznikne ideální řešení použitelné zejména pro zpracovatele dřeva.</w:t>
      </w:r>
    </w:p>
    <w:p w:rsidR="005E76A9" w:rsidRPr="005E76A9" w:rsidRDefault="005E76A9" w:rsidP="00712145">
      <w:pPr>
        <w:spacing w:before="120" w:after="120" w:line="360" w:lineRule="auto"/>
        <w:ind w:firstLine="708"/>
        <w:jc w:val="both"/>
        <w:rPr>
          <w:rFonts w:ascii="Arial" w:eastAsia="Calibri" w:hAnsi="Arial" w:cs="Times New Roman"/>
          <w:sz w:val="24"/>
        </w:rPr>
      </w:pPr>
      <w:r w:rsidRPr="0090673D">
        <w:rPr>
          <w:rFonts w:ascii="Arial" w:eastAsia="Calibri" w:hAnsi="Arial" w:cs="Times New Roman"/>
          <w:sz w:val="24"/>
        </w:rPr>
        <w:t>Navržený systém dopravy paliva je schopen pracovat s kusy paliva až do délky 500mm a průměru do 50mm u tvrdého dřeva. V případě spalování měkkého dřeva může být průměr jednotlivých kusů paliva až 60 mm.</w:t>
      </w:r>
    </w:p>
    <w:p w:rsidR="005E76A9" w:rsidRPr="005E76A9" w:rsidRDefault="005E76A9" w:rsidP="005E76A9">
      <w:pPr>
        <w:spacing w:before="120" w:after="120" w:line="360" w:lineRule="auto"/>
        <w:ind w:firstLine="708"/>
        <w:jc w:val="both"/>
        <w:rPr>
          <w:rFonts w:ascii="Arial" w:eastAsia="Calibri" w:hAnsi="Arial" w:cs="Times New Roman"/>
          <w:sz w:val="24"/>
        </w:rPr>
      </w:pPr>
      <w:r w:rsidRPr="005E76A9">
        <w:rPr>
          <w:rFonts w:ascii="Arial" w:eastAsia="Calibri" w:hAnsi="Arial" w:cs="Times New Roman"/>
          <w:sz w:val="24"/>
        </w:rPr>
        <w:t>Druhou předností tohoto řešení je fakt, že dokáže kromě kusového paliva dopravovat a dávkovat také drcené palivo stejně jako běžně v praxi používané systémy. Anebo kombinaci drceného a kusového paliva, které je již pro běžně používané systémy nevhodné. Tato univerzálnost navrženého systému dopravy umožňuje provozovateli udržet optimální podmínky provozu spalovacího zařízení pro různé typy paliva .</w:t>
      </w:r>
    </w:p>
    <w:p w:rsidR="005E76A9" w:rsidRPr="005E76A9" w:rsidRDefault="005E76A9" w:rsidP="005E76A9">
      <w:pPr>
        <w:spacing w:before="120" w:after="120" w:line="360" w:lineRule="auto"/>
        <w:ind w:firstLine="708"/>
        <w:jc w:val="both"/>
        <w:rPr>
          <w:rFonts w:ascii="Arial" w:eastAsia="Calibri" w:hAnsi="Arial" w:cs="Times New Roman"/>
          <w:sz w:val="24"/>
        </w:rPr>
      </w:pPr>
      <w:r w:rsidRPr="005E76A9">
        <w:rPr>
          <w:rFonts w:ascii="Arial" w:eastAsia="Calibri" w:hAnsi="Arial" w:cs="Times New Roman"/>
          <w:sz w:val="24"/>
        </w:rPr>
        <w:t xml:space="preserve">Navrhované řešení je složené z několika oddělených zařízení, která lze přizpůsobit přesně dispozičním a kapacitním požadavkům provozovatele. </w:t>
      </w:r>
    </w:p>
    <w:p w:rsidR="00037929" w:rsidRDefault="00037929" w:rsidP="003B0FD0"/>
    <w:p w:rsidR="00055B7E" w:rsidRDefault="00055B7E" w:rsidP="00055B7E">
      <w:pPr>
        <w:spacing w:before="120" w:after="120" w:line="360" w:lineRule="auto"/>
        <w:ind w:firstLine="708"/>
        <w:jc w:val="both"/>
        <w:rPr>
          <w:rFonts w:ascii="Arial" w:eastAsia="Calibri" w:hAnsi="Arial" w:cs="Times New Roman"/>
          <w:b/>
          <w:i/>
          <w:sz w:val="24"/>
        </w:rPr>
      </w:pPr>
      <w:r>
        <w:rPr>
          <w:rFonts w:ascii="Arial" w:eastAsia="Calibri" w:hAnsi="Arial" w:cs="Times New Roman"/>
          <w:b/>
          <w:i/>
          <w:sz w:val="24"/>
        </w:rPr>
        <w:t>Konstrukční</w:t>
      </w:r>
      <w:r w:rsidRPr="00055B7E">
        <w:rPr>
          <w:rFonts w:ascii="Arial" w:eastAsia="Calibri" w:hAnsi="Arial" w:cs="Times New Roman"/>
          <w:b/>
          <w:i/>
          <w:sz w:val="24"/>
        </w:rPr>
        <w:t xml:space="preserve"> řešení palivového kanálu</w:t>
      </w:r>
    </w:p>
    <w:p w:rsidR="002F6310" w:rsidRPr="002F6310" w:rsidRDefault="002F6310" w:rsidP="002F6310">
      <w:pPr>
        <w:spacing w:before="120" w:after="120" w:line="360" w:lineRule="auto"/>
        <w:ind w:firstLine="708"/>
        <w:jc w:val="both"/>
        <w:rPr>
          <w:rFonts w:ascii="Arial" w:eastAsia="Calibri" w:hAnsi="Arial" w:cs="Times New Roman"/>
          <w:sz w:val="24"/>
        </w:rPr>
      </w:pPr>
      <w:r w:rsidRPr="002F6310">
        <w:rPr>
          <w:rFonts w:ascii="Arial" w:eastAsia="Calibri" w:hAnsi="Arial" w:cs="Times New Roman"/>
          <w:sz w:val="24"/>
        </w:rPr>
        <w:t xml:space="preserve">Speciální konstrukce palivového kanálu je klíčovým prvkem tohoto technického řešení systému dopravy biomasy a kontaminované biomasy pro dávkování kusového paliva bez nutnosti jeho dodatečné přípravy pro spalování. Jak již bylo zmíněno, tato speciální konstrukce palivového kanálu umožňuje spalování drceného paliva, kusového paliva anebo jejich kombinací v různém poměru. Toho je docíleno zrušením středového podélného táhla </w:t>
      </w:r>
      <w:r w:rsidRPr="002F6310">
        <w:rPr>
          <w:rFonts w:ascii="Arial" w:eastAsia="Calibri" w:hAnsi="Arial" w:cs="Times New Roman"/>
          <w:b/>
          <w:sz w:val="24"/>
          <w:u w:val="single"/>
        </w:rPr>
        <w:t>PT</w:t>
      </w:r>
      <w:r w:rsidRPr="002F6310">
        <w:rPr>
          <w:rFonts w:ascii="Arial" w:eastAsia="Calibri" w:hAnsi="Arial" w:cs="Times New Roman"/>
          <w:sz w:val="24"/>
        </w:rPr>
        <w:t xml:space="preserve"> a průvlaků (obojí  významně omezuje pohyb paliva při jeho dopravování) v kombinaci s větším zdvihem hydraulického válce </w:t>
      </w:r>
      <w:r w:rsidRPr="002F6310">
        <w:rPr>
          <w:rFonts w:ascii="Arial" w:eastAsia="Calibri" w:hAnsi="Arial" w:cs="Times New Roman"/>
          <w:b/>
          <w:sz w:val="24"/>
          <w:u w:val="single"/>
        </w:rPr>
        <w:t xml:space="preserve">HV </w:t>
      </w:r>
      <w:r w:rsidRPr="002F6310">
        <w:rPr>
          <w:rFonts w:ascii="Arial" w:eastAsia="Calibri" w:hAnsi="Arial" w:cs="Times New Roman"/>
          <w:sz w:val="24"/>
        </w:rPr>
        <w:t xml:space="preserve">při snížení počtu vlastních pohyblivých hrabel </w:t>
      </w:r>
      <w:r w:rsidRPr="002F6310">
        <w:rPr>
          <w:rFonts w:ascii="Arial" w:eastAsia="Calibri" w:hAnsi="Arial" w:cs="Times New Roman"/>
          <w:b/>
          <w:sz w:val="24"/>
          <w:u w:val="single"/>
        </w:rPr>
        <w:t>H</w:t>
      </w:r>
      <w:r w:rsidRPr="002F6310">
        <w:rPr>
          <w:rFonts w:ascii="Arial" w:eastAsia="Calibri" w:hAnsi="Arial" w:cs="Times New Roman"/>
          <w:sz w:val="24"/>
        </w:rPr>
        <w:t>.</w:t>
      </w:r>
    </w:p>
    <w:p w:rsidR="003925C2" w:rsidRDefault="003925C2" w:rsidP="002F6310">
      <w:pPr>
        <w:spacing w:before="120" w:after="120" w:line="360" w:lineRule="auto"/>
        <w:ind w:firstLine="708"/>
        <w:jc w:val="both"/>
        <w:rPr>
          <w:rFonts w:ascii="Arial" w:eastAsia="Calibri" w:hAnsi="Arial" w:cs="Times New Roman"/>
          <w:sz w:val="24"/>
        </w:rPr>
      </w:pPr>
      <w:r>
        <w:rPr>
          <w:rFonts w:ascii="Arial" w:eastAsia="Calibri" w:hAnsi="Arial" w:cs="Times New Roman"/>
          <w:noProof/>
          <w:sz w:val="24"/>
          <w:lang w:eastAsia="cs-CZ"/>
        </w:rPr>
        <w:drawing>
          <wp:anchor distT="0" distB="0" distL="114300" distR="114300" simplePos="0" relativeHeight="251659264" behindDoc="1" locked="0" layoutInCell="1" allowOverlap="1">
            <wp:simplePos x="0" y="0"/>
            <wp:positionH relativeFrom="column">
              <wp:posOffset>963930</wp:posOffset>
            </wp:positionH>
            <wp:positionV relativeFrom="paragraph">
              <wp:posOffset>-199390</wp:posOffset>
            </wp:positionV>
            <wp:extent cx="4120515" cy="2392680"/>
            <wp:effectExtent l="0" t="0" r="0" b="7620"/>
            <wp:wrapTight wrapText="bothSides">
              <wp:wrapPolygon edited="0">
                <wp:start x="0" y="0"/>
                <wp:lineTo x="0" y="21497"/>
                <wp:lineTo x="21470" y="21497"/>
                <wp:lineTo x="21470" y="0"/>
                <wp:lineTo x="0" y="0"/>
              </wp:wrapPolygon>
            </wp:wrapTight>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20515" cy="2392680"/>
                    </a:xfrm>
                    <a:prstGeom prst="rect">
                      <a:avLst/>
                    </a:prstGeom>
                    <a:noFill/>
                    <a:ln>
                      <a:noFill/>
                    </a:ln>
                  </pic:spPr>
                </pic:pic>
              </a:graphicData>
            </a:graphic>
          </wp:anchor>
        </w:drawing>
      </w:r>
    </w:p>
    <w:p w:rsidR="003925C2" w:rsidRDefault="003925C2" w:rsidP="002F6310">
      <w:pPr>
        <w:spacing w:before="120" w:after="120" w:line="360" w:lineRule="auto"/>
        <w:ind w:firstLine="708"/>
        <w:jc w:val="both"/>
        <w:rPr>
          <w:rFonts w:ascii="Arial" w:eastAsia="Calibri" w:hAnsi="Arial" w:cs="Times New Roman"/>
          <w:sz w:val="24"/>
        </w:rPr>
      </w:pPr>
    </w:p>
    <w:p w:rsidR="003925C2" w:rsidRDefault="003925C2" w:rsidP="002F6310">
      <w:pPr>
        <w:spacing w:before="120" w:after="120" w:line="360" w:lineRule="auto"/>
        <w:ind w:firstLine="708"/>
        <w:jc w:val="both"/>
        <w:rPr>
          <w:rFonts w:ascii="Arial" w:eastAsia="Calibri" w:hAnsi="Arial" w:cs="Times New Roman"/>
          <w:sz w:val="24"/>
        </w:rPr>
      </w:pPr>
    </w:p>
    <w:p w:rsidR="003925C2" w:rsidRDefault="003925C2" w:rsidP="002F6310">
      <w:pPr>
        <w:spacing w:before="120" w:after="120" w:line="360" w:lineRule="auto"/>
        <w:ind w:firstLine="708"/>
        <w:jc w:val="both"/>
        <w:rPr>
          <w:rFonts w:ascii="Arial" w:eastAsia="Calibri" w:hAnsi="Arial" w:cs="Times New Roman"/>
          <w:sz w:val="24"/>
        </w:rPr>
      </w:pPr>
    </w:p>
    <w:p w:rsidR="0090673D" w:rsidRDefault="0090673D" w:rsidP="002F6310">
      <w:pPr>
        <w:spacing w:before="120" w:after="120" w:line="360" w:lineRule="auto"/>
        <w:ind w:firstLine="708"/>
        <w:jc w:val="both"/>
        <w:rPr>
          <w:rFonts w:ascii="Arial" w:eastAsia="Calibri" w:hAnsi="Arial" w:cs="Times New Roman"/>
          <w:sz w:val="24"/>
        </w:rPr>
      </w:pPr>
    </w:p>
    <w:p w:rsidR="0090673D" w:rsidRDefault="0090673D" w:rsidP="002F6310">
      <w:pPr>
        <w:spacing w:before="120" w:after="120" w:line="360" w:lineRule="auto"/>
        <w:ind w:firstLine="708"/>
        <w:jc w:val="both"/>
        <w:rPr>
          <w:rFonts w:ascii="Arial" w:eastAsia="Calibri" w:hAnsi="Arial" w:cs="Times New Roman"/>
          <w:sz w:val="24"/>
        </w:rPr>
      </w:pPr>
    </w:p>
    <w:p w:rsidR="0090673D" w:rsidRDefault="0090673D" w:rsidP="002F6310">
      <w:pPr>
        <w:spacing w:before="120" w:after="120" w:line="360" w:lineRule="auto"/>
        <w:ind w:firstLine="708"/>
        <w:jc w:val="both"/>
        <w:rPr>
          <w:rFonts w:ascii="Arial" w:eastAsia="Calibri" w:hAnsi="Arial" w:cs="Times New Roman"/>
          <w:sz w:val="24"/>
        </w:rPr>
      </w:pPr>
    </w:p>
    <w:p w:rsidR="0090673D" w:rsidRPr="0090673D" w:rsidRDefault="0090673D" w:rsidP="0090673D">
      <w:pPr>
        <w:spacing w:before="120" w:after="120" w:line="360" w:lineRule="auto"/>
        <w:jc w:val="both"/>
        <w:rPr>
          <w:rFonts w:ascii="Arial" w:eastAsia="Times New Roman" w:hAnsi="Arial" w:cs="Arial"/>
          <w:b/>
          <w:bCs/>
          <w:i/>
          <w:sz w:val="18"/>
          <w:szCs w:val="18"/>
          <w:lang w:eastAsia="cs-CZ"/>
        </w:rPr>
      </w:pPr>
      <w:r w:rsidRPr="0090673D">
        <w:rPr>
          <w:rFonts w:ascii="Arial" w:eastAsia="Times New Roman" w:hAnsi="Arial" w:cs="Arial"/>
          <w:b/>
          <w:bCs/>
          <w:i/>
          <w:sz w:val="18"/>
          <w:szCs w:val="18"/>
          <w:lang w:eastAsia="cs-CZ"/>
        </w:rPr>
        <w:t>Obr.</w:t>
      </w:r>
      <w:r>
        <w:rPr>
          <w:rFonts w:ascii="Arial" w:eastAsia="Times New Roman" w:hAnsi="Arial" w:cs="Arial"/>
          <w:b/>
          <w:bCs/>
          <w:i/>
          <w:sz w:val="18"/>
          <w:szCs w:val="18"/>
          <w:lang w:eastAsia="cs-CZ"/>
        </w:rPr>
        <w:t xml:space="preserve"> 5</w:t>
      </w:r>
      <w:r w:rsidRPr="0090673D">
        <w:rPr>
          <w:rFonts w:ascii="Arial" w:eastAsia="Times New Roman" w:hAnsi="Arial" w:cs="Arial"/>
          <w:b/>
          <w:bCs/>
          <w:i/>
          <w:sz w:val="18"/>
          <w:szCs w:val="18"/>
          <w:lang w:eastAsia="cs-CZ"/>
        </w:rPr>
        <w:t xml:space="preserve"> </w:t>
      </w:r>
      <w:r>
        <w:rPr>
          <w:rFonts w:ascii="Arial" w:eastAsia="Times New Roman" w:hAnsi="Arial" w:cs="Arial"/>
          <w:b/>
          <w:bCs/>
          <w:i/>
          <w:sz w:val="18"/>
          <w:szCs w:val="18"/>
          <w:lang w:eastAsia="cs-CZ"/>
        </w:rPr>
        <w:t xml:space="preserve"> </w:t>
      </w:r>
      <w:r>
        <w:rPr>
          <w:rFonts w:ascii="Arial" w:eastAsia="Times New Roman" w:hAnsi="Arial" w:cs="Arial"/>
          <w:bCs/>
          <w:i/>
          <w:sz w:val="18"/>
          <w:szCs w:val="18"/>
          <w:lang w:eastAsia="cs-CZ"/>
        </w:rPr>
        <w:t>Celkový pohled na nový palivový kanál.</w:t>
      </w:r>
    </w:p>
    <w:p w:rsidR="0090673D" w:rsidRDefault="0090673D" w:rsidP="002F6310">
      <w:pPr>
        <w:spacing w:before="120" w:after="120" w:line="360" w:lineRule="auto"/>
        <w:ind w:firstLine="708"/>
        <w:jc w:val="both"/>
        <w:rPr>
          <w:rFonts w:ascii="Arial" w:eastAsia="Calibri" w:hAnsi="Arial" w:cs="Times New Roman"/>
          <w:sz w:val="24"/>
        </w:rPr>
      </w:pPr>
    </w:p>
    <w:p w:rsidR="002F6310" w:rsidRDefault="002F6310" w:rsidP="002F6310">
      <w:pPr>
        <w:spacing w:before="120" w:after="120" w:line="360" w:lineRule="auto"/>
        <w:ind w:firstLine="708"/>
        <w:jc w:val="both"/>
        <w:rPr>
          <w:rFonts w:ascii="Arial" w:eastAsia="Calibri" w:hAnsi="Arial" w:cs="Times New Roman"/>
          <w:noProof/>
          <w:sz w:val="24"/>
          <w:lang w:eastAsia="cs-CZ"/>
        </w:rPr>
      </w:pPr>
      <w:r w:rsidRPr="002F6310">
        <w:rPr>
          <w:rFonts w:ascii="Arial" w:eastAsia="Calibri" w:hAnsi="Arial" w:cs="Times New Roman"/>
          <w:sz w:val="24"/>
        </w:rPr>
        <w:t xml:space="preserve">Palivový kanál je tvořen ocelovým korytem </w:t>
      </w:r>
      <w:r w:rsidRPr="002F6310">
        <w:rPr>
          <w:rFonts w:ascii="Arial" w:eastAsia="Calibri" w:hAnsi="Arial" w:cs="Times New Roman"/>
          <w:b/>
          <w:sz w:val="24"/>
          <w:u w:val="single"/>
        </w:rPr>
        <w:t>OK</w:t>
      </w:r>
      <w:r w:rsidRPr="002F6310">
        <w:rPr>
          <w:rFonts w:ascii="Arial" w:eastAsia="Calibri" w:hAnsi="Arial" w:cs="Times New Roman"/>
          <w:sz w:val="24"/>
        </w:rPr>
        <w:t xml:space="preserve"> pevně zabudovaným v betonových základech, jedním svařeným ocelovým pohyblivým rámem (pohyblivé hrablo </w:t>
      </w:r>
      <w:r w:rsidRPr="002F6310">
        <w:rPr>
          <w:rFonts w:ascii="Arial" w:eastAsia="Calibri" w:hAnsi="Arial" w:cs="Times New Roman"/>
          <w:b/>
          <w:sz w:val="24"/>
          <w:u w:val="single"/>
        </w:rPr>
        <w:t>PH</w:t>
      </w:r>
      <w:r w:rsidRPr="002F6310">
        <w:rPr>
          <w:rFonts w:ascii="Arial" w:eastAsia="Calibri" w:hAnsi="Arial" w:cs="Times New Roman"/>
          <w:sz w:val="24"/>
        </w:rPr>
        <w:t xml:space="preserve">) a sadou pevných hrabel </w:t>
      </w:r>
      <w:r w:rsidRPr="002F6310">
        <w:rPr>
          <w:rFonts w:ascii="Arial" w:eastAsia="Calibri" w:hAnsi="Arial" w:cs="Times New Roman"/>
          <w:b/>
          <w:sz w:val="24"/>
          <w:u w:val="single"/>
        </w:rPr>
        <w:t>SPH</w:t>
      </w:r>
      <w:r w:rsidRPr="002F6310">
        <w:rPr>
          <w:rFonts w:ascii="Arial" w:eastAsia="Calibri" w:hAnsi="Arial" w:cs="Times New Roman"/>
          <w:sz w:val="24"/>
        </w:rPr>
        <w:t xml:space="preserve">. Součástí ocelového koryta </w:t>
      </w:r>
      <w:r w:rsidRPr="002F6310">
        <w:rPr>
          <w:rFonts w:ascii="Arial" w:eastAsia="Calibri" w:hAnsi="Arial" w:cs="Times New Roman"/>
          <w:b/>
          <w:sz w:val="24"/>
          <w:u w:val="single"/>
        </w:rPr>
        <w:t>OK</w:t>
      </w:r>
      <w:r w:rsidRPr="002F6310">
        <w:rPr>
          <w:rFonts w:ascii="Arial" w:eastAsia="Calibri" w:hAnsi="Arial" w:cs="Times New Roman"/>
          <w:sz w:val="24"/>
        </w:rPr>
        <w:t xml:space="preserve"> je vyztužené čelo tvořené přírubou pro napojení na stoupací kanál a tzv. střižnou hranou s pevným vyměnitelným segmentovým nožem </w:t>
      </w:r>
      <w:r w:rsidRPr="002F6310">
        <w:rPr>
          <w:rFonts w:ascii="Arial" w:eastAsia="Calibri" w:hAnsi="Arial" w:cs="Times New Roman"/>
          <w:b/>
          <w:sz w:val="24"/>
          <w:u w:val="single"/>
        </w:rPr>
        <w:t>PSN</w:t>
      </w:r>
      <w:r w:rsidRPr="002F6310">
        <w:rPr>
          <w:rFonts w:ascii="Arial" w:eastAsia="Calibri" w:hAnsi="Arial" w:cs="Times New Roman"/>
          <w:sz w:val="24"/>
        </w:rPr>
        <w:t xml:space="preserve">. Na opačné straně koryta jsou vyztužená záda přizpůsobena pro upevnění hydraulického válce </w:t>
      </w:r>
      <w:r w:rsidRPr="002F6310">
        <w:rPr>
          <w:rFonts w:ascii="Arial" w:eastAsia="Calibri" w:hAnsi="Arial" w:cs="Times New Roman"/>
          <w:b/>
          <w:sz w:val="24"/>
          <w:u w:val="single"/>
        </w:rPr>
        <w:t>HV</w:t>
      </w:r>
      <w:r w:rsidRPr="002F6310">
        <w:rPr>
          <w:rFonts w:ascii="Arial" w:eastAsia="Calibri" w:hAnsi="Arial" w:cs="Times New Roman"/>
          <w:sz w:val="24"/>
        </w:rPr>
        <w:t xml:space="preserve"> pohonu pohyblivého hrabla.</w:t>
      </w:r>
      <w:r w:rsidR="003925C2" w:rsidRPr="003925C2">
        <w:rPr>
          <w:rFonts w:ascii="Arial" w:eastAsia="Calibri" w:hAnsi="Arial" w:cs="Times New Roman"/>
          <w:noProof/>
          <w:sz w:val="24"/>
          <w:lang w:eastAsia="cs-CZ"/>
        </w:rPr>
        <w:t xml:space="preserve"> </w:t>
      </w:r>
    </w:p>
    <w:p w:rsidR="003925C2" w:rsidRDefault="003925C2" w:rsidP="002F6310">
      <w:pPr>
        <w:spacing w:before="120" w:after="120" w:line="360" w:lineRule="auto"/>
        <w:ind w:firstLine="708"/>
        <w:jc w:val="both"/>
        <w:rPr>
          <w:rFonts w:ascii="Arial" w:eastAsia="Calibri" w:hAnsi="Arial" w:cs="Times New Roman"/>
          <w:noProof/>
          <w:sz w:val="24"/>
          <w:lang w:eastAsia="cs-CZ"/>
        </w:rPr>
      </w:pPr>
      <w:r>
        <w:rPr>
          <w:rFonts w:ascii="Arial" w:eastAsia="Calibri" w:hAnsi="Arial" w:cs="Times New Roman"/>
          <w:noProof/>
          <w:sz w:val="24"/>
          <w:lang w:eastAsia="cs-CZ"/>
        </w:rPr>
        <w:drawing>
          <wp:anchor distT="0" distB="0" distL="114300" distR="114300" simplePos="0" relativeHeight="251660288" behindDoc="1" locked="0" layoutInCell="1" allowOverlap="1">
            <wp:simplePos x="0" y="0"/>
            <wp:positionH relativeFrom="column">
              <wp:posOffset>708660</wp:posOffset>
            </wp:positionH>
            <wp:positionV relativeFrom="paragraph">
              <wp:posOffset>46355</wp:posOffset>
            </wp:positionV>
            <wp:extent cx="3835400" cy="1886585"/>
            <wp:effectExtent l="0" t="0" r="0" b="0"/>
            <wp:wrapTight wrapText="bothSides">
              <wp:wrapPolygon edited="0">
                <wp:start x="0" y="0"/>
                <wp:lineTo x="0" y="21375"/>
                <wp:lineTo x="21457" y="21375"/>
                <wp:lineTo x="21457" y="0"/>
                <wp:lineTo x="0" y="0"/>
              </wp:wrapPolygon>
            </wp:wrapTight>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35400" cy="1886585"/>
                    </a:xfrm>
                    <a:prstGeom prst="rect">
                      <a:avLst/>
                    </a:prstGeom>
                    <a:noFill/>
                    <a:ln>
                      <a:noFill/>
                    </a:ln>
                  </pic:spPr>
                </pic:pic>
              </a:graphicData>
            </a:graphic>
          </wp:anchor>
        </w:drawing>
      </w:r>
    </w:p>
    <w:p w:rsidR="003925C2" w:rsidRDefault="003925C2" w:rsidP="002F6310">
      <w:pPr>
        <w:spacing w:before="120" w:after="120" w:line="360" w:lineRule="auto"/>
        <w:ind w:firstLine="708"/>
        <w:jc w:val="both"/>
        <w:rPr>
          <w:rFonts w:ascii="Arial" w:eastAsia="Calibri" w:hAnsi="Arial" w:cs="Times New Roman"/>
          <w:noProof/>
          <w:sz w:val="24"/>
          <w:lang w:eastAsia="cs-CZ"/>
        </w:rPr>
      </w:pPr>
    </w:p>
    <w:p w:rsidR="003925C2" w:rsidRDefault="003925C2" w:rsidP="002F6310">
      <w:pPr>
        <w:spacing w:before="120" w:after="120" w:line="360" w:lineRule="auto"/>
        <w:ind w:firstLine="708"/>
        <w:jc w:val="both"/>
        <w:rPr>
          <w:rFonts w:ascii="Arial" w:eastAsia="Calibri" w:hAnsi="Arial" w:cs="Times New Roman"/>
          <w:noProof/>
          <w:sz w:val="24"/>
          <w:lang w:eastAsia="cs-CZ"/>
        </w:rPr>
      </w:pPr>
    </w:p>
    <w:p w:rsidR="003925C2" w:rsidRDefault="003925C2" w:rsidP="002F6310">
      <w:pPr>
        <w:spacing w:before="120" w:after="120" w:line="360" w:lineRule="auto"/>
        <w:ind w:firstLine="708"/>
        <w:jc w:val="both"/>
        <w:rPr>
          <w:rFonts w:ascii="Arial" w:eastAsia="Calibri" w:hAnsi="Arial" w:cs="Times New Roman"/>
          <w:noProof/>
          <w:sz w:val="24"/>
          <w:lang w:eastAsia="cs-CZ"/>
        </w:rPr>
      </w:pPr>
    </w:p>
    <w:p w:rsidR="003925C2" w:rsidRDefault="003925C2" w:rsidP="002F6310">
      <w:pPr>
        <w:spacing w:before="120" w:after="120" w:line="360" w:lineRule="auto"/>
        <w:ind w:firstLine="708"/>
        <w:jc w:val="both"/>
        <w:rPr>
          <w:rFonts w:ascii="Arial" w:eastAsia="Calibri" w:hAnsi="Arial" w:cs="Times New Roman"/>
          <w:noProof/>
          <w:sz w:val="24"/>
          <w:lang w:eastAsia="cs-CZ"/>
        </w:rPr>
      </w:pPr>
    </w:p>
    <w:p w:rsidR="003925C2" w:rsidRDefault="003925C2" w:rsidP="002F6310">
      <w:pPr>
        <w:spacing w:before="120" w:after="120" w:line="360" w:lineRule="auto"/>
        <w:ind w:firstLine="708"/>
        <w:jc w:val="both"/>
        <w:rPr>
          <w:rFonts w:ascii="Arial" w:eastAsia="Calibri" w:hAnsi="Arial" w:cs="Times New Roman"/>
          <w:noProof/>
          <w:sz w:val="24"/>
          <w:lang w:eastAsia="cs-CZ"/>
        </w:rPr>
      </w:pPr>
    </w:p>
    <w:p w:rsidR="0090673D" w:rsidRPr="0090673D" w:rsidRDefault="0090673D" w:rsidP="0090673D">
      <w:pPr>
        <w:spacing w:before="120" w:after="120" w:line="360" w:lineRule="auto"/>
        <w:jc w:val="both"/>
        <w:rPr>
          <w:rFonts w:ascii="Arial" w:eastAsia="Times New Roman" w:hAnsi="Arial" w:cs="Arial"/>
          <w:b/>
          <w:bCs/>
          <w:i/>
          <w:sz w:val="18"/>
          <w:szCs w:val="18"/>
          <w:lang w:eastAsia="cs-CZ"/>
        </w:rPr>
      </w:pPr>
      <w:r w:rsidRPr="0090673D">
        <w:rPr>
          <w:rFonts w:ascii="Arial" w:eastAsia="Times New Roman" w:hAnsi="Arial" w:cs="Arial"/>
          <w:b/>
          <w:bCs/>
          <w:i/>
          <w:sz w:val="18"/>
          <w:szCs w:val="18"/>
          <w:lang w:eastAsia="cs-CZ"/>
        </w:rPr>
        <w:t>Obr.</w:t>
      </w:r>
      <w:r>
        <w:rPr>
          <w:rFonts w:ascii="Arial" w:eastAsia="Times New Roman" w:hAnsi="Arial" w:cs="Arial"/>
          <w:b/>
          <w:bCs/>
          <w:i/>
          <w:sz w:val="18"/>
          <w:szCs w:val="18"/>
          <w:lang w:eastAsia="cs-CZ"/>
        </w:rPr>
        <w:t xml:space="preserve"> 6</w:t>
      </w:r>
      <w:r w:rsidRPr="0090673D">
        <w:rPr>
          <w:rFonts w:ascii="Arial" w:eastAsia="Times New Roman" w:hAnsi="Arial" w:cs="Arial"/>
          <w:b/>
          <w:bCs/>
          <w:i/>
          <w:sz w:val="18"/>
          <w:szCs w:val="18"/>
          <w:lang w:eastAsia="cs-CZ"/>
        </w:rPr>
        <w:t xml:space="preserve"> </w:t>
      </w:r>
      <w:r>
        <w:rPr>
          <w:rFonts w:ascii="Arial" w:eastAsia="Times New Roman" w:hAnsi="Arial" w:cs="Arial"/>
          <w:b/>
          <w:bCs/>
          <w:i/>
          <w:sz w:val="18"/>
          <w:szCs w:val="18"/>
          <w:lang w:eastAsia="cs-CZ"/>
        </w:rPr>
        <w:t xml:space="preserve"> </w:t>
      </w:r>
      <w:r>
        <w:rPr>
          <w:rFonts w:ascii="Arial" w:eastAsia="Times New Roman" w:hAnsi="Arial" w:cs="Arial"/>
          <w:bCs/>
          <w:i/>
          <w:sz w:val="18"/>
          <w:szCs w:val="18"/>
          <w:lang w:eastAsia="cs-CZ"/>
        </w:rPr>
        <w:t>Detail nového palivového kanálu – pohled na berana, pohyblivé a statické hrabla.</w:t>
      </w:r>
    </w:p>
    <w:p w:rsidR="003925C2" w:rsidRDefault="003925C2" w:rsidP="002F6310">
      <w:pPr>
        <w:spacing w:before="120" w:after="120" w:line="360" w:lineRule="auto"/>
        <w:ind w:firstLine="708"/>
        <w:jc w:val="both"/>
        <w:rPr>
          <w:rFonts w:ascii="Arial" w:eastAsia="Calibri" w:hAnsi="Arial" w:cs="Times New Roman"/>
          <w:sz w:val="24"/>
        </w:rPr>
      </w:pPr>
    </w:p>
    <w:p w:rsidR="002F6310" w:rsidRPr="002F6310" w:rsidRDefault="002F6310" w:rsidP="002F6310">
      <w:pPr>
        <w:spacing w:before="120" w:after="120" w:line="360" w:lineRule="auto"/>
        <w:ind w:firstLine="708"/>
        <w:jc w:val="both"/>
        <w:rPr>
          <w:rFonts w:ascii="Arial" w:eastAsia="Calibri" w:hAnsi="Arial" w:cs="Times New Roman"/>
          <w:sz w:val="24"/>
        </w:rPr>
      </w:pPr>
      <w:r w:rsidRPr="002F6310">
        <w:rPr>
          <w:rFonts w:ascii="Arial" w:eastAsia="Calibri" w:hAnsi="Arial" w:cs="Times New Roman"/>
          <w:sz w:val="24"/>
        </w:rPr>
        <w:t xml:space="preserve">Běžně používané pohyblivé hrablo je konstrukce s centrálním podélným táhlem kotveným v průvlacích bez bočního vedení a jedním centrálním hydraulickým válcem. Provedení pohyblivého hrabla </w:t>
      </w:r>
      <w:r w:rsidRPr="002F6310">
        <w:rPr>
          <w:rFonts w:ascii="Arial" w:eastAsia="Calibri" w:hAnsi="Arial" w:cs="Times New Roman"/>
          <w:b/>
          <w:sz w:val="24"/>
          <w:u w:val="single"/>
        </w:rPr>
        <w:t>PH</w:t>
      </w:r>
      <w:r w:rsidRPr="002F6310">
        <w:rPr>
          <w:rFonts w:ascii="Arial" w:eastAsia="Calibri" w:hAnsi="Arial" w:cs="Times New Roman"/>
          <w:sz w:val="24"/>
        </w:rPr>
        <w:t xml:space="preserve"> použitého v tomto systému dopravy paliva se od běžných způsobů odlišuje v konstrukčním řešení podélného táhla </w:t>
      </w:r>
      <w:r w:rsidRPr="002F6310">
        <w:rPr>
          <w:rFonts w:ascii="Arial" w:eastAsia="Calibri" w:hAnsi="Arial" w:cs="Times New Roman"/>
          <w:b/>
          <w:sz w:val="24"/>
          <w:u w:val="single"/>
        </w:rPr>
        <w:t>PT</w:t>
      </w:r>
      <w:r w:rsidRPr="002F6310">
        <w:rPr>
          <w:rFonts w:ascii="Arial" w:eastAsia="Calibri" w:hAnsi="Arial" w:cs="Times New Roman"/>
          <w:sz w:val="24"/>
        </w:rPr>
        <w:t xml:space="preserve"> a jeho vedením pomocí přítlačných lišt </w:t>
      </w:r>
      <w:r w:rsidRPr="002F6310">
        <w:rPr>
          <w:rFonts w:ascii="Arial" w:eastAsia="Calibri" w:hAnsi="Arial" w:cs="Times New Roman"/>
          <w:b/>
          <w:sz w:val="24"/>
          <w:u w:val="single"/>
        </w:rPr>
        <w:t>PL</w:t>
      </w:r>
      <w:r w:rsidRPr="002F6310">
        <w:rPr>
          <w:rFonts w:ascii="Arial" w:eastAsia="Calibri" w:hAnsi="Arial" w:cs="Times New Roman"/>
          <w:sz w:val="24"/>
        </w:rPr>
        <w:t xml:space="preserve">, při zachování jednoho centrálního hydraulického válce </w:t>
      </w:r>
      <w:r w:rsidRPr="002F6310">
        <w:rPr>
          <w:rFonts w:ascii="Arial" w:eastAsia="Calibri" w:hAnsi="Arial" w:cs="Times New Roman"/>
          <w:b/>
          <w:sz w:val="24"/>
          <w:u w:val="single"/>
        </w:rPr>
        <w:t>HV</w:t>
      </w:r>
      <w:r w:rsidRPr="002F6310">
        <w:rPr>
          <w:rFonts w:ascii="Arial" w:eastAsia="Calibri" w:hAnsi="Arial" w:cs="Times New Roman"/>
          <w:sz w:val="24"/>
        </w:rPr>
        <w:t xml:space="preserve">. Pohyblivé hrablo </w:t>
      </w:r>
      <w:r w:rsidRPr="002F6310">
        <w:rPr>
          <w:rFonts w:ascii="Arial" w:eastAsia="Calibri" w:hAnsi="Arial" w:cs="Times New Roman"/>
          <w:b/>
          <w:sz w:val="24"/>
          <w:u w:val="single"/>
        </w:rPr>
        <w:t>PH</w:t>
      </w:r>
      <w:r w:rsidRPr="002F6310">
        <w:rPr>
          <w:rFonts w:ascii="Arial" w:eastAsia="Calibri" w:hAnsi="Arial" w:cs="Times New Roman"/>
          <w:sz w:val="24"/>
        </w:rPr>
        <w:t xml:space="preserve"> tvoří skříň hydraulického válce </w:t>
      </w:r>
      <w:r w:rsidRPr="002F6310">
        <w:rPr>
          <w:rFonts w:ascii="Arial" w:eastAsia="Calibri" w:hAnsi="Arial" w:cs="Times New Roman"/>
          <w:b/>
          <w:sz w:val="24"/>
          <w:u w:val="single"/>
        </w:rPr>
        <w:t>SHV</w:t>
      </w:r>
      <w:r w:rsidRPr="002F6310">
        <w:rPr>
          <w:rFonts w:ascii="Arial" w:eastAsia="Calibri" w:hAnsi="Arial" w:cs="Times New Roman"/>
          <w:sz w:val="24"/>
        </w:rPr>
        <w:t xml:space="preserve">, dvě postranní podélná táhla </w:t>
      </w:r>
      <w:r w:rsidRPr="002F6310">
        <w:rPr>
          <w:rFonts w:ascii="Arial" w:eastAsia="Calibri" w:hAnsi="Arial" w:cs="Times New Roman"/>
          <w:b/>
          <w:sz w:val="24"/>
          <w:u w:val="single"/>
        </w:rPr>
        <w:t>PT</w:t>
      </w:r>
      <w:r w:rsidRPr="002F6310">
        <w:rPr>
          <w:rFonts w:ascii="Arial" w:eastAsia="Calibri" w:hAnsi="Arial" w:cs="Times New Roman"/>
          <w:sz w:val="24"/>
        </w:rPr>
        <w:t xml:space="preserve">, vlastní hrabla </w:t>
      </w:r>
      <w:r w:rsidRPr="002F6310">
        <w:rPr>
          <w:rFonts w:ascii="Arial" w:eastAsia="Calibri" w:hAnsi="Arial" w:cs="Times New Roman"/>
          <w:b/>
          <w:sz w:val="24"/>
          <w:u w:val="single"/>
        </w:rPr>
        <w:t>H</w:t>
      </w:r>
      <w:r w:rsidRPr="002F6310">
        <w:rPr>
          <w:rFonts w:ascii="Arial" w:eastAsia="Calibri" w:hAnsi="Arial" w:cs="Times New Roman"/>
          <w:sz w:val="24"/>
        </w:rPr>
        <w:t xml:space="preserve"> a čelní „beran“ </w:t>
      </w:r>
      <w:r w:rsidRPr="002F6310">
        <w:rPr>
          <w:rFonts w:ascii="Arial" w:eastAsia="Calibri" w:hAnsi="Arial" w:cs="Times New Roman"/>
          <w:b/>
          <w:sz w:val="24"/>
          <w:u w:val="single"/>
        </w:rPr>
        <w:t>B</w:t>
      </w:r>
      <w:r w:rsidRPr="002F6310">
        <w:rPr>
          <w:rFonts w:ascii="Arial" w:eastAsia="Calibri" w:hAnsi="Arial" w:cs="Times New Roman"/>
          <w:sz w:val="24"/>
        </w:rPr>
        <w:t xml:space="preserve"> se zabudovaným vyměnitelným segmentovým nožem </w:t>
      </w:r>
      <w:r w:rsidRPr="002F6310">
        <w:rPr>
          <w:rFonts w:ascii="Arial" w:eastAsia="Calibri" w:hAnsi="Arial" w:cs="Times New Roman"/>
          <w:b/>
          <w:sz w:val="24"/>
          <w:u w:val="single"/>
        </w:rPr>
        <w:t>SN</w:t>
      </w:r>
      <w:r w:rsidRPr="002F6310">
        <w:rPr>
          <w:rFonts w:ascii="Arial" w:eastAsia="Calibri" w:hAnsi="Arial" w:cs="Times New Roman"/>
          <w:sz w:val="24"/>
        </w:rPr>
        <w:t xml:space="preserve">. Kontaktní plochu pro přítlačné lišty </w:t>
      </w:r>
      <w:r w:rsidRPr="002F6310">
        <w:rPr>
          <w:rFonts w:ascii="Arial" w:eastAsia="Calibri" w:hAnsi="Arial" w:cs="Times New Roman"/>
          <w:b/>
          <w:sz w:val="24"/>
          <w:u w:val="single"/>
        </w:rPr>
        <w:t>PL</w:t>
      </w:r>
      <w:r w:rsidRPr="002F6310">
        <w:rPr>
          <w:rFonts w:ascii="Arial" w:eastAsia="Calibri" w:hAnsi="Arial" w:cs="Times New Roman"/>
          <w:sz w:val="24"/>
        </w:rPr>
        <w:t xml:space="preserve"> tvoří výstelka z otěruvzdorného plechu přivařená na horní stranu podélného táhla </w:t>
      </w:r>
      <w:r w:rsidRPr="002F6310">
        <w:rPr>
          <w:rFonts w:ascii="Arial" w:eastAsia="Calibri" w:hAnsi="Arial" w:cs="Times New Roman"/>
          <w:b/>
          <w:sz w:val="24"/>
          <w:u w:val="single"/>
        </w:rPr>
        <w:t>PT</w:t>
      </w:r>
      <w:r w:rsidRPr="002F6310">
        <w:rPr>
          <w:rFonts w:ascii="Arial" w:eastAsia="Calibri" w:hAnsi="Arial" w:cs="Times New Roman"/>
          <w:sz w:val="24"/>
        </w:rPr>
        <w:t xml:space="preserve">. Vlastní hrabla </w:t>
      </w:r>
      <w:r w:rsidRPr="002F6310">
        <w:rPr>
          <w:rFonts w:ascii="Arial" w:eastAsia="Calibri" w:hAnsi="Arial" w:cs="Times New Roman"/>
          <w:b/>
          <w:sz w:val="24"/>
          <w:u w:val="single"/>
        </w:rPr>
        <w:t>H</w:t>
      </w:r>
      <w:r w:rsidRPr="002F6310">
        <w:rPr>
          <w:rFonts w:ascii="Arial" w:eastAsia="Calibri" w:hAnsi="Arial" w:cs="Times New Roman"/>
          <w:sz w:val="24"/>
        </w:rPr>
        <w:t xml:space="preserve"> jsou svařena z ocelového plechu, který je na hřbetu a čele otěruvzdorný </w:t>
      </w:r>
      <w:r w:rsidR="0090673D">
        <w:rPr>
          <w:rFonts w:ascii="Arial" w:eastAsia="Calibri" w:hAnsi="Arial" w:cs="Times New Roman"/>
          <w:sz w:val="24"/>
        </w:rPr>
        <w:br/>
      </w:r>
      <w:r w:rsidRPr="002F6310">
        <w:rPr>
          <w:rFonts w:ascii="Arial" w:eastAsia="Calibri" w:hAnsi="Arial" w:cs="Times New Roman"/>
          <w:sz w:val="24"/>
        </w:rPr>
        <w:t xml:space="preserve">a tvoří uzavřenou skříň. Čelní „beran“ </w:t>
      </w:r>
      <w:r w:rsidRPr="002F6310">
        <w:rPr>
          <w:rFonts w:ascii="Arial" w:eastAsia="Calibri" w:hAnsi="Arial" w:cs="Times New Roman"/>
          <w:b/>
          <w:sz w:val="24"/>
        </w:rPr>
        <w:t>B</w:t>
      </w:r>
      <w:r w:rsidRPr="002F6310">
        <w:rPr>
          <w:rFonts w:ascii="Arial" w:eastAsia="Calibri" w:hAnsi="Arial" w:cs="Times New Roman"/>
          <w:sz w:val="24"/>
        </w:rPr>
        <w:t xml:space="preserve"> je obdobné konstrukce jako vlastní pevné hrablo </w:t>
      </w:r>
      <w:r w:rsidRPr="002F6310">
        <w:rPr>
          <w:rFonts w:ascii="Arial" w:eastAsia="Calibri" w:hAnsi="Arial" w:cs="Times New Roman"/>
          <w:b/>
          <w:sz w:val="24"/>
          <w:u w:val="single"/>
        </w:rPr>
        <w:t>H</w:t>
      </w:r>
      <w:r w:rsidRPr="002F6310">
        <w:rPr>
          <w:rFonts w:ascii="Arial" w:eastAsia="Calibri" w:hAnsi="Arial" w:cs="Times New Roman"/>
          <w:sz w:val="24"/>
        </w:rPr>
        <w:t xml:space="preserve">. Odlišuje se v rozměrech a v přítomnosti segmentového nože </w:t>
      </w:r>
      <w:r w:rsidRPr="002F6310">
        <w:rPr>
          <w:rFonts w:ascii="Arial" w:eastAsia="Calibri" w:hAnsi="Arial" w:cs="Times New Roman"/>
          <w:b/>
          <w:sz w:val="24"/>
          <w:u w:val="single"/>
        </w:rPr>
        <w:t>SN</w:t>
      </w:r>
      <w:r w:rsidRPr="002F6310">
        <w:rPr>
          <w:rFonts w:ascii="Arial" w:eastAsia="Calibri" w:hAnsi="Arial" w:cs="Times New Roman"/>
          <w:sz w:val="24"/>
        </w:rPr>
        <w:t xml:space="preserve"> zabudovaného v nosné matrici, který slouží spolu s pevným segmentovým nožem </w:t>
      </w:r>
      <w:r w:rsidRPr="002F6310">
        <w:rPr>
          <w:rFonts w:ascii="Arial" w:eastAsia="Calibri" w:hAnsi="Arial" w:cs="Times New Roman"/>
          <w:b/>
          <w:sz w:val="24"/>
          <w:u w:val="single"/>
        </w:rPr>
        <w:t>PSN</w:t>
      </w:r>
      <w:r w:rsidRPr="002F6310">
        <w:rPr>
          <w:rFonts w:ascii="Arial" w:eastAsia="Calibri" w:hAnsi="Arial" w:cs="Times New Roman"/>
          <w:sz w:val="24"/>
        </w:rPr>
        <w:t xml:space="preserve"> k formátování paliva na velikost průřezu stoupacího kanálu </w:t>
      </w:r>
      <w:r w:rsidRPr="002F6310">
        <w:rPr>
          <w:rFonts w:ascii="Arial" w:eastAsia="Calibri" w:hAnsi="Arial" w:cs="Times New Roman"/>
          <w:b/>
          <w:sz w:val="24"/>
          <w:u w:val="single"/>
        </w:rPr>
        <w:t>SK</w:t>
      </w:r>
      <w:r w:rsidRPr="002F6310">
        <w:rPr>
          <w:rFonts w:ascii="Arial" w:eastAsia="Calibri" w:hAnsi="Arial" w:cs="Times New Roman"/>
          <w:sz w:val="24"/>
        </w:rPr>
        <w:t xml:space="preserve">. </w:t>
      </w:r>
    </w:p>
    <w:p w:rsidR="003925C2" w:rsidRDefault="006E0974" w:rsidP="003925C2">
      <w:pPr>
        <w:spacing w:before="120" w:after="120" w:line="360" w:lineRule="auto"/>
        <w:ind w:firstLine="708"/>
        <w:jc w:val="both"/>
        <w:rPr>
          <w:rFonts w:ascii="Arial" w:eastAsia="Calibri" w:hAnsi="Arial" w:cs="Times New Roman"/>
          <w:sz w:val="24"/>
        </w:rPr>
      </w:pPr>
      <w:r>
        <w:rPr>
          <w:rFonts w:ascii="Arial" w:eastAsia="Calibri" w:hAnsi="Arial" w:cs="Times New Roman"/>
          <w:noProof/>
          <w:sz w:val="24"/>
          <w:lang w:eastAsia="cs-CZ"/>
        </w:rPr>
        <w:drawing>
          <wp:anchor distT="0" distB="0" distL="114300" distR="114300" simplePos="0" relativeHeight="251663360" behindDoc="1" locked="0" layoutInCell="1" allowOverlap="1">
            <wp:simplePos x="0" y="0"/>
            <wp:positionH relativeFrom="column">
              <wp:posOffset>1149985</wp:posOffset>
            </wp:positionH>
            <wp:positionV relativeFrom="paragraph">
              <wp:posOffset>209550</wp:posOffset>
            </wp:positionV>
            <wp:extent cx="3265805" cy="2360295"/>
            <wp:effectExtent l="19050" t="0" r="0" b="0"/>
            <wp:wrapTight wrapText="bothSides">
              <wp:wrapPolygon edited="0">
                <wp:start x="-126" y="0"/>
                <wp:lineTo x="-126" y="21443"/>
                <wp:lineTo x="21545" y="21443"/>
                <wp:lineTo x="21545" y="0"/>
                <wp:lineTo x="-126" y="0"/>
              </wp:wrapPolygon>
            </wp:wrapTight>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5805" cy="2360295"/>
                    </a:xfrm>
                    <a:prstGeom prst="rect">
                      <a:avLst/>
                    </a:prstGeom>
                    <a:noFill/>
                    <a:ln>
                      <a:noFill/>
                    </a:ln>
                  </pic:spPr>
                </pic:pic>
              </a:graphicData>
            </a:graphic>
          </wp:anchor>
        </w:drawing>
      </w:r>
    </w:p>
    <w:p w:rsidR="003925C2" w:rsidRDefault="003925C2" w:rsidP="003925C2">
      <w:pPr>
        <w:spacing w:before="120" w:after="120" w:line="360" w:lineRule="auto"/>
        <w:ind w:firstLine="708"/>
        <w:jc w:val="both"/>
        <w:rPr>
          <w:rFonts w:ascii="Arial" w:eastAsia="Calibri" w:hAnsi="Arial" w:cs="Times New Roman"/>
          <w:sz w:val="24"/>
        </w:rPr>
      </w:pPr>
    </w:p>
    <w:p w:rsidR="0090673D" w:rsidRDefault="0090673D" w:rsidP="003925C2">
      <w:pPr>
        <w:spacing w:before="120" w:after="120" w:line="360" w:lineRule="auto"/>
        <w:ind w:firstLine="708"/>
        <w:jc w:val="both"/>
        <w:rPr>
          <w:rFonts w:ascii="Arial" w:eastAsia="Calibri" w:hAnsi="Arial" w:cs="Times New Roman"/>
          <w:sz w:val="24"/>
        </w:rPr>
      </w:pPr>
    </w:p>
    <w:p w:rsidR="0090673D" w:rsidRDefault="0090673D" w:rsidP="003925C2">
      <w:pPr>
        <w:spacing w:before="120" w:after="120" w:line="360" w:lineRule="auto"/>
        <w:ind w:firstLine="708"/>
        <w:jc w:val="both"/>
        <w:rPr>
          <w:rFonts w:ascii="Arial" w:eastAsia="Calibri" w:hAnsi="Arial" w:cs="Times New Roman"/>
          <w:sz w:val="24"/>
        </w:rPr>
      </w:pPr>
    </w:p>
    <w:p w:rsidR="0090673D" w:rsidRDefault="0090673D" w:rsidP="003925C2">
      <w:pPr>
        <w:spacing w:before="120" w:after="120" w:line="360" w:lineRule="auto"/>
        <w:ind w:firstLine="708"/>
        <w:jc w:val="both"/>
        <w:rPr>
          <w:rFonts w:ascii="Arial" w:eastAsia="Calibri" w:hAnsi="Arial" w:cs="Times New Roman"/>
          <w:sz w:val="24"/>
        </w:rPr>
      </w:pPr>
    </w:p>
    <w:p w:rsidR="0090673D" w:rsidRDefault="0090673D" w:rsidP="003925C2">
      <w:pPr>
        <w:spacing w:before="120" w:after="120" w:line="360" w:lineRule="auto"/>
        <w:ind w:firstLine="708"/>
        <w:jc w:val="both"/>
        <w:rPr>
          <w:rFonts w:ascii="Arial" w:eastAsia="Calibri" w:hAnsi="Arial" w:cs="Times New Roman"/>
          <w:sz w:val="24"/>
        </w:rPr>
      </w:pPr>
    </w:p>
    <w:p w:rsidR="006E0974" w:rsidRDefault="006E0974" w:rsidP="003925C2">
      <w:pPr>
        <w:spacing w:before="120" w:after="120" w:line="360" w:lineRule="auto"/>
        <w:ind w:firstLine="708"/>
        <w:jc w:val="both"/>
        <w:rPr>
          <w:rFonts w:ascii="Arial" w:eastAsia="Calibri" w:hAnsi="Arial" w:cs="Times New Roman"/>
          <w:sz w:val="24"/>
        </w:rPr>
      </w:pPr>
    </w:p>
    <w:p w:rsidR="0090673D" w:rsidRDefault="0090673D" w:rsidP="003925C2">
      <w:pPr>
        <w:spacing w:before="120" w:after="120" w:line="360" w:lineRule="auto"/>
        <w:ind w:firstLine="708"/>
        <w:jc w:val="both"/>
        <w:rPr>
          <w:rFonts w:ascii="Arial" w:eastAsia="Calibri" w:hAnsi="Arial" w:cs="Times New Roman"/>
          <w:sz w:val="24"/>
        </w:rPr>
      </w:pPr>
    </w:p>
    <w:p w:rsidR="0090673D" w:rsidRPr="0090673D" w:rsidRDefault="0090673D" w:rsidP="0090673D">
      <w:pPr>
        <w:spacing w:before="120" w:after="120" w:line="360" w:lineRule="auto"/>
        <w:jc w:val="both"/>
        <w:rPr>
          <w:rFonts w:ascii="Arial" w:eastAsia="Times New Roman" w:hAnsi="Arial" w:cs="Arial"/>
          <w:b/>
          <w:bCs/>
          <w:i/>
          <w:sz w:val="18"/>
          <w:szCs w:val="18"/>
          <w:lang w:eastAsia="cs-CZ"/>
        </w:rPr>
      </w:pPr>
      <w:r w:rsidRPr="0090673D">
        <w:rPr>
          <w:rFonts w:ascii="Arial" w:eastAsia="Times New Roman" w:hAnsi="Arial" w:cs="Arial"/>
          <w:b/>
          <w:bCs/>
          <w:i/>
          <w:sz w:val="18"/>
          <w:szCs w:val="18"/>
          <w:lang w:eastAsia="cs-CZ"/>
        </w:rPr>
        <w:t>Obr.</w:t>
      </w:r>
      <w:r>
        <w:rPr>
          <w:rFonts w:ascii="Arial" w:eastAsia="Times New Roman" w:hAnsi="Arial" w:cs="Arial"/>
          <w:b/>
          <w:bCs/>
          <w:i/>
          <w:sz w:val="18"/>
          <w:szCs w:val="18"/>
          <w:lang w:eastAsia="cs-CZ"/>
        </w:rPr>
        <w:t xml:space="preserve"> 7 </w:t>
      </w:r>
      <w:r>
        <w:rPr>
          <w:rFonts w:ascii="Arial" w:eastAsia="Times New Roman" w:hAnsi="Arial" w:cs="Arial"/>
          <w:bCs/>
          <w:i/>
          <w:sz w:val="18"/>
          <w:szCs w:val="18"/>
          <w:lang w:eastAsia="cs-CZ"/>
        </w:rPr>
        <w:t>Detail nového palivového kanálu – pohled na pohyblivé a statické hrablo.</w:t>
      </w:r>
    </w:p>
    <w:p w:rsidR="0090673D" w:rsidRDefault="0090673D" w:rsidP="003925C2">
      <w:pPr>
        <w:spacing w:before="120" w:after="120" w:line="360" w:lineRule="auto"/>
        <w:ind w:firstLine="708"/>
        <w:jc w:val="both"/>
        <w:rPr>
          <w:rFonts w:ascii="Arial" w:eastAsia="Calibri" w:hAnsi="Arial" w:cs="Times New Roman"/>
          <w:sz w:val="24"/>
        </w:rPr>
      </w:pPr>
    </w:p>
    <w:p w:rsidR="002F6310" w:rsidRPr="002F6310" w:rsidRDefault="002F6310" w:rsidP="003925C2">
      <w:pPr>
        <w:spacing w:before="120" w:after="120" w:line="360" w:lineRule="auto"/>
        <w:ind w:firstLine="708"/>
        <w:jc w:val="both"/>
        <w:rPr>
          <w:rFonts w:ascii="Arial" w:eastAsia="Calibri" w:hAnsi="Arial" w:cs="Times New Roman"/>
          <w:sz w:val="24"/>
        </w:rPr>
      </w:pPr>
      <w:r w:rsidRPr="002F6310">
        <w:rPr>
          <w:rFonts w:ascii="Arial" w:eastAsia="Calibri" w:hAnsi="Arial" w:cs="Times New Roman"/>
          <w:sz w:val="24"/>
        </w:rPr>
        <w:t xml:space="preserve">Utěsnění pohyblivých částí skříně </w:t>
      </w:r>
      <w:r w:rsidRPr="002F6310">
        <w:rPr>
          <w:rFonts w:ascii="Arial" w:eastAsia="Calibri" w:hAnsi="Arial" w:cs="Times New Roman"/>
          <w:b/>
          <w:sz w:val="24"/>
          <w:u w:val="single"/>
        </w:rPr>
        <w:t>SHV</w:t>
      </w:r>
      <w:r w:rsidRPr="002F6310">
        <w:rPr>
          <w:rFonts w:ascii="Arial" w:eastAsia="Calibri" w:hAnsi="Arial" w:cs="Times New Roman"/>
          <w:sz w:val="24"/>
        </w:rPr>
        <w:t xml:space="preserve">, „beranu“ </w:t>
      </w:r>
      <w:r w:rsidRPr="002F6310">
        <w:rPr>
          <w:rFonts w:ascii="Arial" w:eastAsia="Calibri" w:hAnsi="Arial" w:cs="Times New Roman"/>
          <w:b/>
          <w:sz w:val="24"/>
          <w:u w:val="single"/>
        </w:rPr>
        <w:t>B</w:t>
      </w:r>
      <w:r w:rsidRPr="002F6310">
        <w:rPr>
          <w:rFonts w:ascii="Arial" w:eastAsia="Calibri" w:hAnsi="Arial" w:cs="Times New Roman"/>
          <w:sz w:val="24"/>
        </w:rPr>
        <w:t xml:space="preserve"> a hrabel </w:t>
      </w:r>
      <w:r w:rsidRPr="002F6310">
        <w:rPr>
          <w:rFonts w:ascii="Arial" w:eastAsia="Calibri" w:hAnsi="Arial" w:cs="Times New Roman"/>
          <w:b/>
          <w:sz w:val="24"/>
          <w:u w:val="single"/>
        </w:rPr>
        <w:t>H</w:t>
      </w:r>
      <w:r w:rsidRPr="002F6310">
        <w:rPr>
          <w:rFonts w:ascii="Arial" w:eastAsia="Calibri" w:hAnsi="Arial" w:cs="Times New Roman"/>
          <w:sz w:val="24"/>
        </w:rPr>
        <w:t xml:space="preserve"> vzhledem ke korytu </w:t>
      </w:r>
      <w:r w:rsidRPr="002F6310">
        <w:rPr>
          <w:rFonts w:ascii="Arial" w:eastAsia="Calibri" w:hAnsi="Arial" w:cs="Times New Roman"/>
          <w:b/>
          <w:sz w:val="24"/>
          <w:u w:val="single"/>
        </w:rPr>
        <w:t>OK</w:t>
      </w:r>
      <w:r w:rsidRPr="002F6310">
        <w:rPr>
          <w:rFonts w:ascii="Arial" w:eastAsia="Calibri" w:hAnsi="Arial" w:cs="Times New Roman"/>
          <w:sz w:val="24"/>
        </w:rPr>
        <w:t xml:space="preserve"> je prostřednictvím stíracích lišt </w:t>
      </w:r>
      <w:r w:rsidRPr="002F6310">
        <w:rPr>
          <w:rFonts w:ascii="Arial" w:eastAsia="Calibri" w:hAnsi="Arial" w:cs="Times New Roman"/>
          <w:b/>
          <w:sz w:val="24"/>
          <w:u w:val="single"/>
        </w:rPr>
        <w:t>SL</w:t>
      </w:r>
      <w:r w:rsidRPr="002F6310">
        <w:rPr>
          <w:rFonts w:ascii="Arial" w:eastAsia="Calibri" w:hAnsi="Arial" w:cs="Times New Roman"/>
          <w:sz w:val="24"/>
        </w:rPr>
        <w:t xml:space="preserve">. </w:t>
      </w:r>
    </w:p>
    <w:p w:rsidR="002F6310" w:rsidRPr="002F6310" w:rsidRDefault="002F6310" w:rsidP="003925C2">
      <w:pPr>
        <w:spacing w:before="120" w:after="120" w:line="360" w:lineRule="auto"/>
        <w:ind w:firstLine="708"/>
        <w:jc w:val="both"/>
        <w:rPr>
          <w:rFonts w:ascii="Arial" w:eastAsia="Calibri" w:hAnsi="Arial" w:cs="Times New Roman"/>
          <w:sz w:val="24"/>
        </w:rPr>
      </w:pPr>
      <w:r w:rsidRPr="002F6310">
        <w:rPr>
          <w:rFonts w:ascii="Arial" w:eastAsia="Calibri" w:hAnsi="Arial" w:cs="Times New Roman"/>
          <w:sz w:val="24"/>
        </w:rPr>
        <w:t xml:space="preserve">Vedení pohyblivého hrabla </w:t>
      </w:r>
      <w:r w:rsidRPr="002F6310">
        <w:rPr>
          <w:rFonts w:ascii="Arial" w:eastAsia="Calibri" w:hAnsi="Arial" w:cs="Times New Roman"/>
          <w:b/>
          <w:sz w:val="24"/>
          <w:u w:val="single"/>
        </w:rPr>
        <w:t>PH</w:t>
      </w:r>
      <w:r w:rsidRPr="002F6310">
        <w:rPr>
          <w:rFonts w:ascii="Arial" w:eastAsia="Calibri" w:hAnsi="Arial" w:cs="Times New Roman"/>
          <w:sz w:val="24"/>
        </w:rPr>
        <w:t xml:space="preserve"> v korytě </w:t>
      </w:r>
      <w:r w:rsidRPr="002F6310">
        <w:rPr>
          <w:rFonts w:ascii="Arial" w:eastAsia="Calibri" w:hAnsi="Arial" w:cs="Times New Roman"/>
          <w:b/>
          <w:sz w:val="24"/>
          <w:u w:val="single"/>
        </w:rPr>
        <w:t>OK</w:t>
      </w:r>
      <w:r w:rsidRPr="002F6310">
        <w:rPr>
          <w:rFonts w:ascii="Arial" w:eastAsia="Calibri" w:hAnsi="Arial" w:cs="Times New Roman"/>
          <w:sz w:val="24"/>
        </w:rPr>
        <w:t xml:space="preserve"> je zajištěno právě dvojicí postranních podélných táhel </w:t>
      </w:r>
      <w:r w:rsidRPr="002F6310">
        <w:rPr>
          <w:rFonts w:ascii="Arial" w:eastAsia="Calibri" w:hAnsi="Arial" w:cs="Times New Roman"/>
          <w:b/>
          <w:sz w:val="24"/>
          <w:u w:val="single"/>
        </w:rPr>
        <w:t>PT</w:t>
      </w:r>
      <w:r w:rsidRPr="002F6310">
        <w:rPr>
          <w:rFonts w:ascii="Arial" w:eastAsia="Calibri" w:hAnsi="Arial" w:cs="Times New Roman"/>
          <w:sz w:val="24"/>
        </w:rPr>
        <w:t xml:space="preserve"> doplněných o horní přítlak pomocí přítlačných lišt </w:t>
      </w:r>
      <w:r w:rsidRPr="002F6310">
        <w:rPr>
          <w:rFonts w:ascii="Arial" w:eastAsia="Calibri" w:hAnsi="Arial" w:cs="Times New Roman"/>
          <w:b/>
          <w:sz w:val="24"/>
          <w:u w:val="single"/>
        </w:rPr>
        <w:t>PL</w:t>
      </w:r>
      <w:r w:rsidRPr="002F6310">
        <w:rPr>
          <w:rFonts w:ascii="Arial" w:eastAsia="Calibri" w:hAnsi="Arial" w:cs="Times New Roman"/>
          <w:sz w:val="24"/>
        </w:rPr>
        <w:t xml:space="preserve">. Při tomto řešení odpadá nutnost použití centrálních vodících průvlaků. Přítlačné lišty </w:t>
      </w:r>
      <w:r w:rsidRPr="002F6310">
        <w:rPr>
          <w:rFonts w:ascii="Arial" w:eastAsia="Calibri" w:hAnsi="Arial" w:cs="Times New Roman"/>
          <w:b/>
          <w:sz w:val="24"/>
          <w:u w:val="single"/>
        </w:rPr>
        <w:t>PL</w:t>
      </w:r>
      <w:r w:rsidRPr="002F6310">
        <w:rPr>
          <w:rFonts w:ascii="Arial" w:eastAsia="Calibri" w:hAnsi="Arial" w:cs="Times New Roman"/>
          <w:sz w:val="24"/>
        </w:rPr>
        <w:t xml:space="preserve"> jsou upevněny na boční vyplechování koryta </w:t>
      </w:r>
      <w:r w:rsidRPr="002F6310">
        <w:rPr>
          <w:rFonts w:ascii="Arial" w:eastAsia="Calibri" w:hAnsi="Arial" w:cs="Times New Roman"/>
          <w:b/>
          <w:sz w:val="24"/>
          <w:u w:val="single"/>
        </w:rPr>
        <w:t>OK</w:t>
      </w:r>
      <w:r w:rsidRPr="002F6310">
        <w:rPr>
          <w:rFonts w:ascii="Arial" w:eastAsia="Calibri" w:hAnsi="Arial" w:cs="Times New Roman"/>
          <w:sz w:val="24"/>
        </w:rPr>
        <w:t xml:space="preserve">. Jsou demontovatelné s možností seřízení přítlaku vlivem opotřebení. Kontaktní plochu přítlačných lišt </w:t>
      </w:r>
      <w:r w:rsidRPr="002F6310">
        <w:rPr>
          <w:rFonts w:ascii="Arial" w:eastAsia="Calibri" w:hAnsi="Arial" w:cs="Times New Roman"/>
          <w:b/>
          <w:sz w:val="24"/>
          <w:u w:val="single"/>
        </w:rPr>
        <w:t>PL</w:t>
      </w:r>
      <w:r w:rsidRPr="002F6310">
        <w:rPr>
          <w:rFonts w:ascii="Arial" w:eastAsia="Calibri" w:hAnsi="Arial" w:cs="Times New Roman"/>
          <w:sz w:val="24"/>
        </w:rPr>
        <w:t xml:space="preserve"> tvoří výstelka z otěruvzdorného plechu.</w:t>
      </w:r>
    </w:p>
    <w:p w:rsidR="00D44DD8" w:rsidRDefault="00D44DD8" w:rsidP="003925C2">
      <w:pPr>
        <w:spacing w:before="120" w:after="120" w:line="360" w:lineRule="auto"/>
        <w:ind w:firstLine="708"/>
        <w:jc w:val="both"/>
        <w:rPr>
          <w:rFonts w:ascii="Arial" w:eastAsia="Calibri" w:hAnsi="Arial" w:cs="Times New Roman"/>
          <w:sz w:val="24"/>
        </w:rPr>
      </w:pPr>
    </w:p>
    <w:p w:rsidR="002F6310" w:rsidRPr="002F6310" w:rsidRDefault="002F6310" w:rsidP="003925C2">
      <w:pPr>
        <w:spacing w:before="120" w:after="120" w:line="360" w:lineRule="auto"/>
        <w:ind w:firstLine="708"/>
        <w:jc w:val="both"/>
        <w:rPr>
          <w:rFonts w:ascii="Arial" w:eastAsia="Calibri" w:hAnsi="Arial" w:cs="Times New Roman"/>
          <w:sz w:val="24"/>
        </w:rPr>
      </w:pPr>
      <w:r w:rsidRPr="002F6310">
        <w:rPr>
          <w:rFonts w:ascii="Arial" w:eastAsia="Calibri" w:hAnsi="Arial" w:cs="Times New Roman"/>
          <w:sz w:val="24"/>
        </w:rPr>
        <w:t xml:space="preserve">Vlastní provedení pevných hrabel </w:t>
      </w:r>
      <w:r w:rsidRPr="002F6310">
        <w:rPr>
          <w:rFonts w:ascii="Arial" w:eastAsia="Calibri" w:hAnsi="Arial" w:cs="Times New Roman"/>
          <w:b/>
          <w:sz w:val="24"/>
          <w:u w:val="single"/>
        </w:rPr>
        <w:t>SPH</w:t>
      </w:r>
      <w:r w:rsidRPr="002F6310">
        <w:rPr>
          <w:rFonts w:ascii="Arial" w:eastAsia="Calibri" w:hAnsi="Arial" w:cs="Times New Roman"/>
          <w:sz w:val="24"/>
        </w:rPr>
        <w:t xml:space="preserve"> je konstrukčně shodné jako u běžných systémů dávkování paliva, pouze není rozděleno středovým podélným táhlem.</w:t>
      </w:r>
    </w:p>
    <w:p w:rsidR="003925C2" w:rsidRDefault="003925C2" w:rsidP="00055B7E">
      <w:pPr>
        <w:spacing w:before="120" w:after="120" w:line="360" w:lineRule="auto"/>
        <w:jc w:val="both"/>
        <w:rPr>
          <w:rFonts w:ascii="Arial" w:eastAsia="Calibri" w:hAnsi="Arial" w:cs="Times New Roman"/>
          <w:sz w:val="24"/>
        </w:rPr>
      </w:pPr>
    </w:p>
    <w:p w:rsidR="00D44DD8" w:rsidRPr="00D44DD8" w:rsidRDefault="00D44DD8" w:rsidP="00D44DD8">
      <w:pPr>
        <w:spacing w:before="120" w:after="120" w:line="360" w:lineRule="auto"/>
        <w:ind w:firstLine="708"/>
        <w:jc w:val="both"/>
        <w:rPr>
          <w:rFonts w:ascii="Arial" w:eastAsia="Calibri" w:hAnsi="Arial" w:cs="Times New Roman"/>
          <w:b/>
          <w:i/>
          <w:sz w:val="24"/>
        </w:rPr>
      </w:pPr>
      <w:r w:rsidRPr="00D44DD8">
        <w:rPr>
          <w:rFonts w:ascii="Arial" w:eastAsia="Calibri" w:hAnsi="Arial" w:cs="Times New Roman"/>
          <w:b/>
          <w:i/>
          <w:sz w:val="24"/>
        </w:rPr>
        <w:t>Konstrukčního řešení stoupacího kanálu SK</w:t>
      </w:r>
    </w:p>
    <w:p w:rsidR="00D44DD8" w:rsidRPr="00D44DD8" w:rsidRDefault="00D44DD8" w:rsidP="00D44DD8">
      <w:pPr>
        <w:spacing w:before="120" w:after="120" w:line="360" w:lineRule="auto"/>
        <w:ind w:firstLine="708"/>
        <w:jc w:val="both"/>
        <w:rPr>
          <w:rFonts w:ascii="Arial" w:eastAsia="Calibri" w:hAnsi="Arial" w:cs="Times New Roman"/>
          <w:sz w:val="24"/>
        </w:rPr>
      </w:pPr>
      <w:r w:rsidRPr="00D44DD8">
        <w:rPr>
          <w:rFonts w:ascii="Arial" w:eastAsia="Calibri" w:hAnsi="Arial" w:cs="Times New Roman"/>
          <w:sz w:val="24"/>
        </w:rPr>
        <w:t xml:space="preserve">Pro lepší využití předností speciální konstrukce palivového kanálu </w:t>
      </w:r>
      <w:r w:rsidRPr="00D44DD8">
        <w:rPr>
          <w:rFonts w:ascii="Arial" w:eastAsia="Calibri" w:hAnsi="Arial" w:cs="Times New Roman"/>
          <w:b/>
          <w:sz w:val="24"/>
          <w:u w:val="single"/>
        </w:rPr>
        <w:t>PK</w:t>
      </w:r>
      <w:r w:rsidRPr="00D44DD8">
        <w:rPr>
          <w:rFonts w:ascii="Arial" w:eastAsia="Calibri" w:hAnsi="Arial" w:cs="Times New Roman"/>
          <w:sz w:val="24"/>
        </w:rPr>
        <w:t xml:space="preserve"> bylo navrženo též speciální konstrukční řešení stoupacího kanálu </w:t>
      </w:r>
      <w:r w:rsidRPr="00D44DD8">
        <w:rPr>
          <w:rFonts w:ascii="Arial" w:eastAsia="Calibri" w:hAnsi="Arial" w:cs="Times New Roman"/>
          <w:b/>
          <w:sz w:val="24"/>
          <w:u w:val="single"/>
        </w:rPr>
        <w:t>SK</w:t>
      </w:r>
      <w:r w:rsidRPr="00D44DD8">
        <w:rPr>
          <w:rFonts w:ascii="Arial" w:eastAsia="Calibri" w:hAnsi="Arial" w:cs="Times New Roman"/>
          <w:sz w:val="24"/>
        </w:rPr>
        <w:t xml:space="preserve">. Tento stoupací kanál </w:t>
      </w:r>
      <w:r w:rsidRPr="00D44DD8">
        <w:rPr>
          <w:rFonts w:ascii="Arial" w:eastAsia="Calibri" w:hAnsi="Arial" w:cs="Times New Roman"/>
          <w:b/>
          <w:sz w:val="24"/>
          <w:u w:val="single"/>
        </w:rPr>
        <w:t>SK</w:t>
      </w:r>
      <w:r w:rsidRPr="00D44DD8">
        <w:rPr>
          <w:rFonts w:ascii="Arial" w:eastAsia="Calibri" w:hAnsi="Arial" w:cs="Times New Roman"/>
          <w:sz w:val="24"/>
        </w:rPr>
        <w:t xml:space="preserve"> je v provedení dvoudílném oproti běžně používaným jednodílným. Skládá se ze vstupního kolena </w:t>
      </w:r>
      <w:r w:rsidRPr="00D44DD8">
        <w:rPr>
          <w:rFonts w:ascii="Arial" w:eastAsia="Calibri" w:hAnsi="Arial" w:cs="Times New Roman"/>
          <w:b/>
          <w:sz w:val="24"/>
          <w:u w:val="single"/>
        </w:rPr>
        <w:t>K</w:t>
      </w:r>
      <w:r w:rsidRPr="00D44DD8">
        <w:rPr>
          <w:rFonts w:ascii="Arial" w:eastAsia="Calibri" w:hAnsi="Arial" w:cs="Times New Roman"/>
          <w:sz w:val="24"/>
        </w:rPr>
        <w:t xml:space="preserve"> a přímé trychtýřovité části </w:t>
      </w:r>
      <w:r w:rsidRPr="00D44DD8">
        <w:rPr>
          <w:rFonts w:ascii="Arial" w:eastAsia="Calibri" w:hAnsi="Arial" w:cs="Times New Roman"/>
          <w:b/>
          <w:sz w:val="24"/>
          <w:u w:val="single"/>
        </w:rPr>
        <w:t>TČ</w:t>
      </w:r>
      <w:r w:rsidRPr="00D44DD8">
        <w:rPr>
          <w:rFonts w:ascii="Arial" w:eastAsia="Calibri" w:hAnsi="Arial" w:cs="Times New Roman"/>
          <w:sz w:val="24"/>
        </w:rPr>
        <w:t xml:space="preserve">. Vstupní koleno </w:t>
      </w:r>
      <w:r w:rsidRPr="00D44DD8">
        <w:rPr>
          <w:rFonts w:ascii="Arial" w:eastAsia="Calibri" w:hAnsi="Arial" w:cs="Times New Roman"/>
          <w:b/>
          <w:sz w:val="24"/>
          <w:u w:val="single"/>
        </w:rPr>
        <w:t>K</w:t>
      </w:r>
      <w:r w:rsidRPr="00D44DD8">
        <w:rPr>
          <w:rFonts w:ascii="Arial" w:eastAsia="Calibri" w:hAnsi="Arial" w:cs="Times New Roman"/>
          <w:sz w:val="24"/>
        </w:rPr>
        <w:t xml:space="preserve"> navazuje na čelo palivového kanálu </w:t>
      </w:r>
      <w:r w:rsidRPr="00D44DD8">
        <w:rPr>
          <w:rFonts w:ascii="Arial" w:eastAsia="Calibri" w:hAnsi="Arial" w:cs="Times New Roman"/>
          <w:b/>
          <w:sz w:val="24"/>
          <w:u w:val="single"/>
        </w:rPr>
        <w:t>PK</w:t>
      </w:r>
      <w:r w:rsidRPr="00D44DD8">
        <w:rPr>
          <w:rFonts w:ascii="Arial" w:eastAsia="Calibri" w:hAnsi="Arial" w:cs="Times New Roman"/>
          <w:sz w:val="24"/>
        </w:rPr>
        <w:t xml:space="preserve"> a je k němu připevněno pomocí přírubového spoje. Na vstupní koleno </w:t>
      </w:r>
      <w:r w:rsidRPr="00D44DD8">
        <w:rPr>
          <w:rFonts w:ascii="Arial" w:eastAsia="Calibri" w:hAnsi="Arial" w:cs="Times New Roman"/>
          <w:b/>
          <w:sz w:val="24"/>
          <w:u w:val="single"/>
        </w:rPr>
        <w:t>K</w:t>
      </w:r>
      <w:r w:rsidRPr="00D44DD8">
        <w:rPr>
          <w:rFonts w:ascii="Arial" w:eastAsia="Calibri" w:hAnsi="Arial" w:cs="Times New Roman"/>
          <w:sz w:val="24"/>
        </w:rPr>
        <w:t xml:space="preserve"> navazuje přímá trychtýřová část </w:t>
      </w:r>
      <w:r w:rsidRPr="00D44DD8">
        <w:rPr>
          <w:rFonts w:ascii="Arial" w:eastAsia="Calibri" w:hAnsi="Arial" w:cs="Times New Roman"/>
          <w:b/>
          <w:sz w:val="24"/>
          <w:u w:val="single"/>
        </w:rPr>
        <w:t>TČ</w:t>
      </w:r>
      <w:r w:rsidRPr="00D44DD8">
        <w:rPr>
          <w:rFonts w:ascii="Arial" w:eastAsia="Calibri" w:hAnsi="Arial" w:cs="Times New Roman"/>
          <w:sz w:val="24"/>
        </w:rPr>
        <w:t xml:space="preserve">, které je druhým koncem zabudována přímo do spalovacího zařízení (kotle) </w:t>
      </w:r>
      <w:r w:rsidRPr="00D44DD8">
        <w:rPr>
          <w:rFonts w:ascii="Arial" w:eastAsia="Calibri" w:hAnsi="Arial" w:cs="Times New Roman"/>
          <w:b/>
          <w:sz w:val="24"/>
          <w:u w:val="single"/>
        </w:rPr>
        <w:t>SZ</w:t>
      </w:r>
      <w:r w:rsidRPr="00D44DD8">
        <w:rPr>
          <w:rFonts w:ascii="Arial" w:eastAsia="Calibri" w:hAnsi="Arial" w:cs="Times New Roman"/>
          <w:sz w:val="24"/>
        </w:rPr>
        <w:t xml:space="preserve">. Spoj mezi kolenem </w:t>
      </w:r>
      <w:r w:rsidRPr="00D44DD8">
        <w:rPr>
          <w:rFonts w:ascii="Arial" w:eastAsia="Calibri" w:hAnsi="Arial" w:cs="Times New Roman"/>
          <w:b/>
          <w:sz w:val="24"/>
          <w:u w:val="single"/>
        </w:rPr>
        <w:t>K</w:t>
      </w:r>
      <w:r w:rsidRPr="00D44DD8">
        <w:rPr>
          <w:rFonts w:ascii="Arial" w:eastAsia="Calibri" w:hAnsi="Arial" w:cs="Times New Roman"/>
          <w:sz w:val="24"/>
        </w:rPr>
        <w:t> </w:t>
      </w:r>
      <w:r w:rsidR="0090673D">
        <w:rPr>
          <w:rFonts w:ascii="Arial" w:eastAsia="Calibri" w:hAnsi="Arial" w:cs="Times New Roman"/>
          <w:sz w:val="24"/>
        </w:rPr>
        <w:br/>
      </w:r>
      <w:r w:rsidRPr="00D44DD8">
        <w:rPr>
          <w:rFonts w:ascii="Arial" w:eastAsia="Calibri" w:hAnsi="Arial" w:cs="Times New Roman"/>
          <w:sz w:val="24"/>
        </w:rPr>
        <w:t xml:space="preserve">a trychtýřovou částí </w:t>
      </w:r>
      <w:r w:rsidRPr="00D44DD8">
        <w:rPr>
          <w:rFonts w:ascii="Arial" w:eastAsia="Calibri" w:hAnsi="Arial" w:cs="Times New Roman"/>
          <w:b/>
          <w:sz w:val="24"/>
          <w:u w:val="single"/>
        </w:rPr>
        <w:t>TČ</w:t>
      </w:r>
      <w:r w:rsidRPr="00D44DD8">
        <w:rPr>
          <w:rFonts w:ascii="Arial" w:eastAsia="Calibri" w:hAnsi="Arial" w:cs="Times New Roman"/>
          <w:sz w:val="24"/>
        </w:rPr>
        <w:t xml:space="preserve"> je opět přírubový.</w:t>
      </w:r>
    </w:p>
    <w:p w:rsidR="00D44DD8" w:rsidRPr="00D44DD8" w:rsidRDefault="00D44DD8" w:rsidP="00D44DD8">
      <w:pPr>
        <w:spacing w:before="120" w:after="120" w:line="360" w:lineRule="auto"/>
        <w:ind w:firstLine="708"/>
        <w:jc w:val="both"/>
        <w:rPr>
          <w:rFonts w:ascii="Arial" w:eastAsia="Calibri" w:hAnsi="Arial" w:cs="Times New Roman"/>
          <w:sz w:val="24"/>
        </w:rPr>
      </w:pPr>
      <w:r w:rsidRPr="00D44DD8">
        <w:rPr>
          <w:rFonts w:ascii="Arial" w:eastAsia="Calibri" w:hAnsi="Arial" w:cs="Times New Roman"/>
          <w:sz w:val="24"/>
        </w:rPr>
        <w:t xml:space="preserve">Vstupní koleno </w:t>
      </w:r>
      <w:r w:rsidRPr="00D44DD8">
        <w:rPr>
          <w:rFonts w:ascii="Arial" w:eastAsia="Calibri" w:hAnsi="Arial" w:cs="Times New Roman"/>
          <w:b/>
          <w:sz w:val="24"/>
          <w:u w:val="single"/>
        </w:rPr>
        <w:t>K</w:t>
      </w:r>
      <w:r w:rsidRPr="00D44DD8">
        <w:rPr>
          <w:rFonts w:ascii="Arial" w:eastAsia="Calibri" w:hAnsi="Arial" w:cs="Times New Roman"/>
          <w:sz w:val="24"/>
        </w:rPr>
        <w:t xml:space="preserve"> je vyrobeno z nerezového materiálu. Tím je zamezeno vzniku povrchové koroze z důvodu přítomnosti vlhkého paliva anebo hasící vody. Výsledkem je menší odpor při dopravě paliva vlivem tření. Druhou předností odděleného kolena </w:t>
      </w:r>
      <w:r w:rsidRPr="00D44DD8">
        <w:rPr>
          <w:rFonts w:ascii="Arial" w:eastAsia="Calibri" w:hAnsi="Arial" w:cs="Times New Roman"/>
          <w:b/>
          <w:sz w:val="24"/>
          <w:u w:val="single"/>
        </w:rPr>
        <w:t>K</w:t>
      </w:r>
      <w:r w:rsidRPr="00D44DD8">
        <w:rPr>
          <w:rFonts w:ascii="Arial" w:eastAsia="Calibri" w:hAnsi="Arial" w:cs="Times New Roman"/>
          <w:sz w:val="24"/>
        </w:rPr>
        <w:t xml:space="preserve"> je jeho variabilita a relativně nenákladná výměna za jiné provedení (změna rádiusu, doplnění o pomocný rozrušovací mechanizmus, atd.) například při dodatečné změně typu paliva, popřípadě při vlastním opotřebení kanálu bez nutnosti nákladné demontáže trychtýřovité části </w:t>
      </w:r>
      <w:r w:rsidRPr="00D44DD8">
        <w:rPr>
          <w:rFonts w:ascii="Arial" w:eastAsia="Calibri" w:hAnsi="Arial" w:cs="Times New Roman"/>
          <w:b/>
          <w:sz w:val="24"/>
          <w:u w:val="single"/>
        </w:rPr>
        <w:t>TČ</w:t>
      </w:r>
      <w:r w:rsidRPr="00D44DD8">
        <w:rPr>
          <w:rFonts w:ascii="Arial" w:eastAsia="Calibri" w:hAnsi="Arial" w:cs="Times New Roman"/>
          <w:sz w:val="24"/>
        </w:rPr>
        <w:t xml:space="preserve"> ze spalovacího zařízení </w:t>
      </w:r>
      <w:r w:rsidRPr="00D44DD8">
        <w:rPr>
          <w:rFonts w:ascii="Arial" w:eastAsia="Calibri" w:hAnsi="Arial" w:cs="Times New Roman"/>
          <w:b/>
          <w:sz w:val="24"/>
          <w:u w:val="single"/>
        </w:rPr>
        <w:t>SZ</w:t>
      </w:r>
      <w:r w:rsidRPr="00D44DD8">
        <w:rPr>
          <w:rFonts w:ascii="Arial" w:eastAsia="Calibri" w:hAnsi="Arial" w:cs="Times New Roman"/>
          <w:sz w:val="24"/>
        </w:rPr>
        <w:t xml:space="preserve">. Koleno </w:t>
      </w:r>
      <w:r w:rsidRPr="00D44DD8">
        <w:rPr>
          <w:rFonts w:ascii="Arial" w:eastAsia="Calibri" w:hAnsi="Arial" w:cs="Times New Roman"/>
          <w:b/>
          <w:sz w:val="24"/>
          <w:u w:val="single"/>
        </w:rPr>
        <w:t>K</w:t>
      </w:r>
      <w:r w:rsidRPr="00D44DD8">
        <w:rPr>
          <w:rFonts w:ascii="Arial" w:eastAsia="Calibri" w:hAnsi="Arial" w:cs="Times New Roman"/>
          <w:sz w:val="24"/>
        </w:rPr>
        <w:t xml:space="preserve"> může být též v provedení chlazeném vodou obdobně jaké trychtýřovitá část </w:t>
      </w:r>
      <w:r w:rsidRPr="00D44DD8">
        <w:rPr>
          <w:rFonts w:ascii="Arial" w:eastAsia="Calibri" w:hAnsi="Arial" w:cs="Times New Roman"/>
          <w:b/>
          <w:sz w:val="24"/>
          <w:u w:val="single"/>
        </w:rPr>
        <w:t>TČ</w:t>
      </w:r>
      <w:r w:rsidRPr="00D44DD8">
        <w:rPr>
          <w:rFonts w:ascii="Arial" w:eastAsia="Calibri" w:hAnsi="Arial" w:cs="Times New Roman"/>
          <w:sz w:val="24"/>
        </w:rPr>
        <w:t xml:space="preserve">. </w:t>
      </w:r>
    </w:p>
    <w:p w:rsidR="00D44DD8" w:rsidRPr="00D44DD8" w:rsidRDefault="00D44DD8" w:rsidP="00D44DD8">
      <w:pPr>
        <w:spacing w:before="120" w:after="120" w:line="360" w:lineRule="auto"/>
        <w:ind w:firstLine="708"/>
        <w:jc w:val="both"/>
        <w:rPr>
          <w:rFonts w:ascii="Arial" w:eastAsia="Calibri" w:hAnsi="Arial" w:cs="Times New Roman"/>
          <w:sz w:val="24"/>
        </w:rPr>
      </w:pPr>
      <w:r w:rsidRPr="00D44DD8">
        <w:rPr>
          <w:rFonts w:ascii="Arial" w:eastAsia="Calibri" w:hAnsi="Arial" w:cs="Times New Roman"/>
          <w:sz w:val="24"/>
        </w:rPr>
        <w:t xml:space="preserve">Vlastní provedení trychtýřovité části </w:t>
      </w:r>
      <w:r w:rsidRPr="00D44DD8">
        <w:rPr>
          <w:rFonts w:ascii="Arial" w:eastAsia="Calibri" w:hAnsi="Arial" w:cs="Times New Roman"/>
          <w:b/>
          <w:sz w:val="24"/>
          <w:u w:val="single"/>
        </w:rPr>
        <w:t>TČ</w:t>
      </w:r>
      <w:r w:rsidRPr="00D44DD8">
        <w:rPr>
          <w:rFonts w:ascii="Arial" w:eastAsia="Calibri" w:hAnsi="Arial" w:cs="Times New Roman"/>
          <w:sz w:val="24"/>
        </w:rPr>
        <w:t xml:space="preserve"> je konstrukčně shodné jako u běžných systémů dávkování paliva. Provedení duplikátorové s vodním chlazením. Zabudování výstupního konce trychtýřovité části </w:t>
      </w:r>
      <w:r w:rsidRPr="00D44DD8">
        <w:rPr>
          <w:rFonts w:ascii="Arial" w:eastAsia="Calibri" w:hAnsi="Arial" w:cs="Times New Roman"/>
          <w:b/>
          <w:sz w:val="24"/>
          <w:u w:val="single"/>
        </w:rPr>
        <w:t>TČ</w:t>
      </w:r>
      <w:r w:rsidR="000E73FD">
        <w:rPr>
          <w:rFonts w:ascii="Arial" w:eastAsia="Calibri" w:hAnsi="Arial" w:cs="Times New Roman"/>
          <w:sz w:val="24"/>
        </w:rPr>
        <w:t xml:space="preserve"> přímo do spalovací komory</w:t>
      </w:r>
      <w:r w:rsidRPr="00D44DD8">
        <w:rPr>
          <w:rFonts w:ascii="Arial" w:eastAsia="Calibri" w:hAnsi="Arial" w:cs="Times New Roman"/>
          <w:sz w:val="24"/>
        </w:rPr>
        <w:t xml:space="preserve"> kotle </w:t>
      </w:r>
      <w:r w:rsidRPr="00D44DD8">
        <w:rPr>
          <w:rFonts w:ascii="Arial" w:eastAsia="Calibri" w:hAnsi="Arial" w:cs="Times New Roman"/>
          <w:b/>
          <w:sz w:val="24"/>
          <w:u w:val="single"/>
        </w:rPr>
        <w:t>SZ</w:t>
      </w:r>
      <w:r w:rsidRPr="00D44DD8">
        <w:rPr>
          <w:rFonts w:ascii="Arial" w:eastAsia="Calibri" w:hAnsi="Arial" w:cs="Times New Roman"/>
          <w:sz w:val="24"/>
        </w:rPr>
        <w:t xml:space="preserve">. </w:t>
      </w:r>
    </w:p>
    <w:p w:rsidR="003925C2" w:rsidRDefault="00D44DD8" w:rsidP="00D44DD8">
      <w:pPr>
        <w:spacing w:before="120" w:after="120" w:line="360" w:lineRule="auto"/>
        <w:jc w:val="center"/>
        <w:rPr>
          <w:rFonts w:ascii="Arial" w:eastAsia="Calibri" w:hAnsi="Arial" w:cs="Times New Roman"/>
          <w:sz w:val="24"/>
        </w:rPr>
      </w:pPr>
      <w:r>
        <w:rPr>
          <w:rFonts w:ascii="Arial" w:eastAsia="Calibri" w:hAnsi="Arial" w:cs="Times New Roman"/>
          <w:noProof/>
          <w:sz w:val="24"/>
          <w:lang w:eastAsia="cs-CZ"/>
        </w:rPr>
        <w:drawing>
          <wp:inline distT="0" distB="0" distL="0" distR="0">
            <wp:extent cx="3135085" cy="2580034"/>
            <wp:effectExtent l="0" t="0" r="8255"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35308" cy="2580217"/>
                    </a:xfrm>
                    <a:prstGeom prst="rect">
                      <a:avLst/>
                    </a:prstGeom>
                    <a:noFill/>
                    <a:ln>
                      <a:noFill/>
                    </a:ln>
                  </pic:spPr>
                </pic:pic>
              </a:graphicData>
            </a:graphic>
          </wp:inline>
        </w:drawing>
      </w:r>
      <w:bookmarkStart w:id="0" w:name="_GoBack"/>
      <w:bookmarkEnd w:id="0"/>
    </w:p>
    <w:p w:rsidR="0090673D" w:rsidRPr="0090673D" w:rsidRDefault="0090673D" w:rsidP="0090673D">
      <w:pPr>
        <w:spacing w:before="120" w:after="120" w:line="360" w:lineRule="auto"/>
        <w:jc w:val="both"/>
        <w:rPr>
          <w:rFonts w:ascii="Arial" w:eastAsia="Times New Roman" w:hAnsi="Arial" w:cs="Arial"/>
          <w:b/>
          <w:bCs/>
          <w:i/>
          <w:sz w:val="18"/>
          <w:szCs w:val="18"/>
          <w:lang w:eastAsia="cs-CZ"/>
        </w:rPr>
      </w:pPr>
      <w:r w:rsidRPr="0090673D">
        <w:rPr>
          <w:rFonts w:ascii="Arial" w:eastAsia="Times New Roman" w:hAnsi="Arial" w:cs="Arial"/>
          <w:b/>
          <w:bCs/>
          <w:i/>
          <w:sz w:val="18"/>
          <w:szCs w:val="18"/>
          <w:lang w:eastAsia="cs-CZ"/>
        </w:rPr>
        <w:t>Obr.</w:t>
      </w:r>
      <w:r>
        <w:rPr>
          <w:rFonts w:ascii="Arial" w:eastAsia="Times New Roman" w:hAnsi="Arial" w:cs="Arial"/>
          <w:b/>
          <w:bCs/>
          <w:i/>
          <w:sz w:val="18"/>
          <w:szCs w:val="18"/>
          <w:lang w:eastAsia="cs-CZ"/>
        </w:rPr>
        <w:t xml:space="preserve"> 8</w:t>
      </w:r>
      <w:r w:rsidRPr="0090673D">
        <w:rPr>
          <w:rFonts w:ascii="Arial" w:eastAsia="Times New Roman" w:hAnsi="Arial" w:cs="Arial"/>
          <w:b/>
          <w:bCs/>
          <w:i/>
          <w:sz w:val="18"/>
          <w:szCs w:val="18"/>
          <w:lang w:eastAsia="cs-CZ"/>
        </w:rPr>
        <w:t xml:space="preserve"> </w:t>
      </w:r>
      <w:r>
        <w:rPr>
          <w:rFonts w:ascii="Arial" w:eastAsia="Times New Roman" w:hAnsi="Arial" w:cs="Arial"/>
          <w:b/>
          <w:bCs/>
          <w:i/>
          <w:sz w:val="18"/>
          <w:szCs w:val="18"/>
          <w:lang w:eastAsia="cs-CZ"/>
        </w:rPr>
        <w:t xml:space="preserve"> </w:t>
      </w:r>
      <w:r>
        <w:rPr>
          <w:rFonts w:ascii="Arial" w:eastAsia="Times New Roman" w:hAnsi="Arial" w:cs="Arial"/>
          <w:bCs/>
          <w:i/>
          <w:sz w:val="18"/>
          <w:szCs w:val="18"/>
          <w:lang w:eastAsia="cs-CZ"/>
        </w:rPr>
        <w:t>Celkový pohled na nový stoupací kanál.</w:t>
      </w:r>
    </w:p>
    <w:p w:rsidR="00AA68AA" w:rsidRDefault="00AA68AA" w:rsidP="00AA68AA">
      <w:pPr>
        <w:spacing w:before="120" w:after="120" w:line="360" w:lineRule="auto"/>
        <w:jc w:val="both"/>
        <w:rPr>
          <w:rFonts w:ascii="Arial" w:eastAsia="Calibri" w:hAnsi="Arial" w:cs="Times New Roman"/>
          <w:b/>
          <w:sz w:val="24"/>
        </w:rPr>
      </w:pPr>
      <w:r>
        <w:rPr>
          <w:rFonts w:ascii="Arial" w:eastAsia="Calibri" w:hAnsi="Arial" w:cs="Times New Roman"/>
          <w:b/>
          <w:sz w:val="24"/>
        </w:rPr>
        <w:t>Závěrem</w:t>
      </w:r>
    </w:p>
    <w:p w:rsidR="001F30E9" w:rsidRDefault="001F30E9" w:rsidP="001F30E9">
      <w:pPr>
        <w:spacing w:before="120" w:after="120" w:line="360" w:lineRule="auto"/>
        <w:jc w:val="both"/>
        <w:rPr>
          <w:rFonts w:ascii="Arial" w:hAnsi="Arial" w:cs="Arial"/>
          <w:sz w:val="24"/>
        </w:rPr>
      </w:pPr>
      <w:r>
        <w:rPr>
          <w:rFonts w:ascii="Arial" w:eastAsia="Calibri" w:hAnsi="Arial" w:cs="Times New Roman"/>
          <w:sz w:val="24"/>
        </w:rPr>
        <w:t>V r</w:t>
      </w:r>
      <w:r w:rsidR="00AA68AA">
        <w:rPr>
          <w:rFonts w:ascii="Arial" w:eastAsia="Calibri" w:hAnsi="Arial" w:cs="Times New Roman"/>
          <w:sz w:val="24"/>
        </w:rPr>
        <w:t xml:space="preserve">ámci projektu </w:t>
      </w:r>
      <w:r w:rsidRPr="00622E0B">
        <w:rPr>
          <w:rFonts w:ascii="Arial" w:hAnsi="Arial" w:cs="Arial"/>
          <w:sz w:val="24"/>
        </w:rPr>
        <w:t>„Výzkum a vývoj experimentálního zkušebního zařízení – systém dopravy“</w:t>
      </w:r>
      <w:r>
        <w:rPr>
          <w:rFonts w:ascii="Arial" w:hAnsi="Arial" w:cs="Arial"/>
          <w:sz w:val="24"/>
        </w:rPr>
        <w:t xml:space="preserve">, který zadal pro rok </w:t>
      </w:r>
      <w:r w:rsidRPr="00FB70E2">
        <w:rPr>
          <w:rFonts w:ascii="Arial" w:hAnsi="Arial" w:cs="Arial"/>
          <w:sz w:val="24"/>
        </w:rPr>
        <w:t xml:space="preserve">2014 Moravskoslezský energetický klastr, </w:t>
      </w:r>
      <w:r>
        <w:rPr>
          <w:rFonts w:ascii="Arial" w:hAnsi="Arial" w:cs="Arial"/>
          <w:sz w:val="24"/>
        </w:rPr>
        <w:t>byl proveden</w:t>
      </w:r>
      <w:r w:rsidRPr="00FB70E2">
        <w:rPr>
          <w:rFonts w:ascii="Arial" w:hAnsi="Arial" w:cs="Arial"/>
          <w:sz w:val="24"/>
        </w:rPr>
        <w:t xml:space="preserve"> návrh je </w:t>
      </w:r>
      <w:r w:rsidRPr="00622E0B">
        <w:rPr>
          <w:rFonts w:ascii="Arial" w:hAnsi="Arial" w:cs="Arial"/>
          <w:sz w:val="24"/>
        </w:rPr>
        <w:t>projekční návrh moderního a efektivního systému dopravy kontaminované biomasy a předupraveného směsného odpadu pro technologickou jednotku pro výrobu čisté energie</w:t>
      </w:r>
      <w:r>
        <w:rPr>
          <w:rFonts w:ascii="Arial" w:hAnsi="Arial" w:cs="Arial"/>
          <w:sz w:val="24"/>
        </w:rPr>
        <w:t>, který dále slouží jako podklad pro realizační dokumentaci.</w:t>
      </w:r>
    </w:p>
    <w:p w:rsidR="00AA68AA" w:rsidRDefault="00AA68AA" w:rsidP="00D44DD8">
      <w:pPr>
        <w:spacing w:before="120" w:after="120" w:line="360" w:lineRule="auto"/>
        <w:jc w:val="center"/>
        <w:rPr>
          <w:rFonts w:ascii="Arial" w:eastAsia="Calibri" w:hAnsi="Arial" w:cs="Times New Roman"/>
          <w:sz w:val="24"/>
        </w:rPr>
      </w:pPr>
    </w:p>
    <w:p w:rsidR="00AA68AA" w:rsidRDefault="00AA68AA" w:rsidP="00D44DD8">
      <w:pPr>
        <w:spacing w:before="120" w:after="120" w:line="360" w:lineRule="auto"/>
        <w:jc w:val="center"/>
        <w:rPr>
          <w:rFonts w:ascii="Arial" w:eastAsia="Calibri" w:hAnsi="Arial" w:cs="Times New Roman"/>
          <w:sz w:val="24"/>
        </w:rPr>
      </w:pPr>
    </w:p>
    <w:p w:rsidR="00055B7E" w:rsidRPr="008E7448" w:rsidRDefault="00055B7E" w:rsidP="00055B7E">
      <w:pPr>
        <w:spacing w:before="120" w:after="120" w:line="360" w:lineRule="auto"/>
        <w:jc w:val="both"/>
        <w:rPr>
          <w:rFonts w:ascii="Arial" w:eastAsia="Calibri" w:hAnsi="Arial" w:cs="Times New Roman"/>
          <w:sz w:val="24"/>
        </w:rPr>
      </w:pPr>
    </w:p>
    <w:sectPr w:rsidR="00055B7E" w:rsidRPr="008E7448" w:rsidSect="00C40D75">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64D" w:rsidRDefault="0087164D" w:rsidP="006E0974">
      <w:pPr>
        <w:spacing w:after="0" w:line="240" w:lineRule="auto"/>
      </w:pPr>
      <w:r>
        <w:separator/>
      </w:r>
    </w:p>
  </w:endnote>
  <w:endnote w:type="continuationSeparator" w:id="0">
    <w:p w:rsidR="0087164D" w:rsidRDefault="0087164D" w:rsidP="006E09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21513"/>
      <w:docPartObj>
        <w:docPartGallery w:val="Page Numbers (Bottom of Page)"/>
        <w:docPartUnique/>
      </w:docPartObj>
    </w:sdtPr>
    <w:sdtContent>
      <w:p w:rsidR="006E0974" w:rsidRDefault="006E0974">
        <w:pPr>
          <w:pStyle w:val="Zpat"/>
          <w:jc w:val="right"/>
        </w:pPr>
        <w:r>
          <w:rPr>
            <w:noProof/>
            <w:lang w:eastAsia="cs-CZ"/>
          </w:rPr>
          <w:drawing>
            <wp:anchor distT="0" distB="0" distL="114300" distR="114300" simplePos="0" relativeHeight="251658240" behindDoc="0" locked="0" layoutInCell="1" allowOverlap="1">
              <wp:simplePos x="0" y="0"/>
              <wp:positionH relativeFrom="column">
                <wp:posOffset>1649730</wp:posOffset>
              </wp:positionH>
              <wp:positionV relativeFrom="paragraph">
                <wp:posOffset>8255</wp:posOffset>
              </wp:positionV>
              <wp:extent cx="2287905" cy="499110"/>
              <wp:effectExtent l="19050" t="0" r="0" b="0"/>
              <wp:wrapSquare wrapText="bothSides"/>
              <wp:docPr id="10" name="Obrázek 1" descr="EU + texty cz barva rame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EU + texty cz barva ramecek"/>
                      <pic:cNvPicPr>
                        <a:picLocks noChangeAspect="1" noChangeArrowheads="1"/>
                      </pic:cNvPicPr>
                    </pic:nvPicPr>
                    <pic:blipFill>
                      <a:blip r:embed="rId1"/>
                      <a:srcRect/>
                      <a:stretch>
                        <a:fillRect/>
                      </a:stretch>
                    </pic:blipFill>
                    <pic:spPr bwMode="auto">
                      <a:xfrm>
                        <a:off x="0" y="0"/>
                        <a:ext cx="2287905" cy="499110"/>
                      </a:xfrm>
                      <a:prstGeom prst="rect">
                        <a:avLst/>
                      </a:prstGeom>
                      <a:noFill/>
                      <a:ln w="9525">
                        <a:noFill/>
                        <a:miter lim="800000"/>
                        <a:headEnd/>
                        <a:tailEnd/>
                      </a:ln>
                    </pic:spPr>
                  </pic:pic>
                </a:graphicData>
              </a:graphic>
            </wp:anchor>
          </w:drawing>
        </w:r>
        <w:fldSimple w:instr=" PAGE   \* MERGEFORMAT ">
          <w:r w:rsidR="0087164D">
            <w:rPr>
              <w:noProof/>
            </w:rPr>
            <w:t>1</w:t>
          </w:r>
        </w:fldSimple>
      </w:p>
    </w:sdtContent>
  </w:sdt>
  <w:p w:rsidR="006E0974" w:rsidRDefault="006E0974">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64D" w:rsidRDefault="0087164D" w:rsidP="006E0974">
      <w:pPr>
        <w:spacing w:after="0" w:line="240" w:lineRule="auto"/>
      </w:pPr>
      <w:r>
        <w:separator/>
      </w:r>
    </w:p>
  </w:footnote>
  <w:footnote w:type="continuationSeparator" w:id="0">
    <w:p w:rsidR="0087164D" w:rsidRDefault="0087164D" w:rsidP="006E09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974" w:rsidRDefault="006E0974" w:rsidP="006E0974">
    <w:pPr>
      <w:pStyle w:val="Zhlav"/>
      <w:jc w:val="center"/>
    </w:pPr>
    <w:r>
      <w:rPr>
        <w:noProof/>
        <w:lang w:eastAsia="cs-CZ"/>
      </w:rPr>
      <w:drawing>
        <wp:inline distT="0" distB="0" distL="0" distR="0">
          <wp:extent cx="3425899" cy="612145"/>
          <wp:effectExtent l="19050" t="0" r="3101" b="0"/>
          <wp:docPr id="6" name="Obrázek 5" descr="Výstřiž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ýstřižek.JPG"/>
                  <pic:cNvPicPr/>
                </pic:nvPicPr>
                <pic:blipFill>
                  <a:blip r:embed="rId1"/>
                  <a:stretch>
                    <a:fillRect/>
                  </a:stretch>
                </pic:blipFill>
                <pic:spPr>
                  <a:xfrm>
                    <a:off x="0" y="0"/>
                    <a:ext cx="3423319" cy="611684"/>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4F16C6"/>
    <w:multiLevelType w:val="hybridMultilevel"/>
    <w:tmpl w:val="C45C8B8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hyphenationZone w:val="425"/>
  <w:characterSpacingControl w:val="doNotCompress"/>
  <w:savePreviewPicture/>
  <w:hdrShapeDefaults>
    <o:shapedefaults v:ext="edit" spidmax="6146"/>
  </w:hdrShapeDefaults>
  <w:footnotePr>
    <w:footnote w:id="-1"/>
    <w:footnote w:id="0"/>
  </w:footnotePr>
  <w:endnotePr>
    <w:endnote w:id="-1"/>
    <w:endnote w:id="0"/>
  </w:endnotePr>
  <w:compat/>
  <w:rsids>
    <w:rsidRoot w:val="003B0FD0"/>
    <w:rsid w:val="00037929"/>
    <w:rsid w:val="00055B7E"/>
    <w:rsid w:val="000E73FD"/>
    <w:rsid w:val="00125C30"/>
    <w:rsid w:val="0016272E"/>
    <w:rsid w:val="001F30E9"/>
    <w:rsid w:val="002F6310"/>
    <w:rsid w:val="003925C2"/>
    <w:rsid w:val="003B0FD0"/>
    <w:rsid w:val="003C65A9"/>
    <w:rsid w:val="005E76A9"/>
    <w:rsid w:val="00622E0B"/>
    <w:rsid w:val="006E0974"/>
    <w:rsid w:val="00712145"/>
    <w:rsid w:val="007527A4"/>
    <w:rsid w:val="0087164D"/>
    <w:rsid w:val="008E7448"/>
    <w:rsid w:val="0090673D"/>
    <w:rsid w:val="00A7701F"/>
    <w:rsid w:val="00A8389C"/>
    <w:rsid w:val="00AA68AA"/>
    <w:rsid w:val="00C40D75"/>
    <w:rsid w:val="00C45E1B"/>
    <w:rsid w:val="00CE457A"/>
    <w:rsid w:val="00D44DD8"/>
    <w:rsid w:val="00E8598A"/>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40D75"/>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71214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12145"/>
    <w:rPr>
      <w:rFonts w:ascii="Tahoma" w:hAnsi="Tahoma" w:cs="Tahoma"/>
      <w:sz w:val="16"/>
      <w:szCs w:val="16"/>
    </w:rPr>
  </w:style>
  <w:style w:type="paragraph" w:styleId="Zhlav">
    <w:name w:val="header"/>
    <w:basedOn w:val="Normln"/>
    <w:link w:val="ZhlavChar"/>
    <w:uiPriority w:val="99"/>
    <w:semiHidden/>
    <w:unhideWhenUsed/>
    <w:rsid w:val="006E0974"/>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6E0974"/>
  </w:style>
  <w:style w:type="paragraph" w:styleId="Zpat">
    <w:name w:val="footer"/>
    <w:basedOn w:val="Normln"/>
    <w:link w:val="ZpatChar"/>
    <w:uiPriority w:val="99"/>
    <w:unhideWhenUsed/>
    <w:rsid w:val="006E0974"/>
    <w:pPr>
      <w:tabs>
        <w:tab w:val="center" w:pos="4536"/>
        <w:tab w:val="right" w:pos="9072"/>
      </w:tabs>
      <w:spacing w:after="0" w:line="240" w:lineRule="auto"/>
    </w:pPr>
  </w:style>
  <w:style w:type="character" w:customStyle="1" w:styleId="ZpatChar">
    <w:name w:val="Zápatí Char"/>
    <w:basedOn w:val="Standardnpsmoodstavce"/>
    <w:link w:val="Zpat"/>
    <w:uiPriority w:val="99"/>
    <w:rsid w:val="006E09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71214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121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emf"/></Relationships>
</file>

<file path=word/_rels/footer1.xml.rels><?xml version="1.0" encoding="UTF-8" standalone="yes"?>
<Relationships xmlns="http://schemas.openxmlformats.org/package/2006/relationships"><Relationship Id="rId1"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2245</Words>
  <Characters>13252</Characters>
  <Application>Microsoft Office Word</Application>
  <DocSecurity>0</DocSecurity>
  <Lines>110</Lines>
  <Paragraphs>30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dc:creator>
  <cp:lastModifiedBy>Karel Kühpast</cp:lastModifiedBy>
  <cp:revision>2</cp:revision>
  <dcterms:created xsi:type="dcterms:W3CDTF">2014-12-15T11:39:00Z</dcterms:created>
  <dcterms:modified xsi:type="dcterms:W3CDTF">2014-12-15T11:39:00Z</dcterms:modified>
</cp:coreProperties>
</file>